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AA611" w14:textId="77777777" w:rsidR="006A1899" w:rsidRDefault="008C6249">
      <w:pPr>
        <w:tabs>
          <w:tab w:val="center" w:pos="4719"/>
        </w:tabs>
        <w:spacing w:after="105" w:line="259" w:lineRule="auto"/>
        <w:ind w:left="0" w:right="0" w:firstLine="0"/>
      </w:pPr>
      <w:r>
        <w:t xml:space="preserve"> </w:t>
      </w:r>
      <w:r>
        <w:tab/>
      </w:r>
      <w:r w:rsidR="00183F99">
        <w:rPr>
          <w:b/>
        </w:rPr>
        <w:t xml:space="preserve">CURRICULUM VITAE </w:t>
      </w:r>
    </w:p>
    <w:p w14:paraId="4421B058" w14:textId="77777777" w:rsidR="006A1899" w:rsidRDefault="008C6249">
      <w:pPr>
        <w:spacing w:after="0" w:line="259" w:lineRule="auto"/>
        <w:ind w:left="108" w:right="0" w:firstLine="0"/>
      </w:pPr>
      <w:r>
        <w:rPr>
          <w:b/>
        </w:rPr>
        <w:t xml:space="preserve"> </w:t>
      </w:r>
    </w:p>
    <w:p w14:paraId="5B76F576" w14:textId="77777777" w:rsidR="006A1899" w:rsidRDefault="008C6249">
      <w:pPr>
        <w:tabs>
          <w:tab w:val="center" w:pos="4206"/>
          <w:tab w:val="right" w:pos="10193"/>
        </w:tabs>
        <w:spacing w:after="0" w:line="259" w:lineRule="auto"/>
        <w:ind w:left="0" w:right="0" w:firstLine="0"/>
      </w:pPr>
      <w:r>
        <w:rPr>
          <w:rFonts w:ascii="Calibri" w:eastAsia="Calibri" w:hAnsi="Calibri" w:cs="Calibri"/>
        </w:rPr>
        <w:tab/>
      </w:r>
      <w:r>
        <w:rPr>
          <w:b/>
        </w:rPr>
        <w:t xml:space="preserve"> </w:t>
      </w:r>
      <w:r>
        <w:rPr>
          <w:b/>
        </w:rPr>
        <w:tab/>
        <w:t xml:space="preserve">Wesley M. Raup-Konsavage  </w:t>
      </w:r>
    </w:p>
    <w:p w14:paraId="7DB3935E" w14:textId="77777777" w:rsidR="006A1899" w:rsidRDefault="008C6249">
      <w:pPr>
        <w:tabs>
          <w:tab w:val="center" w:pos="4268"/>
          <w:tab w:val="right" w:pos="10193"/>
        </w:tabs>
        <w:spacing w:after="0" w:line="259" w:lineRule="auto"/>
        <w:ind w:left="0" w:right="-11" w:firstLine="0"/>
      </w:pPr>
      <w:r>
        <w:rPr>
          <w:rFonts w:ascii="Calibri" w:eastAsia="Calibri" w:hAnsi="Calibri" w:cs="Calibri"/>
        </w:rPr>
        <w:tab/>
      </w:r>
      <w:r>
        <w:t xml:space="preserve"> </w:t>
      </w:r>
      <w:r>
        <w:tab/>
        <w:t xml:space="preserve">Department of Pharmacology </w:t>
      </w:r>
    </w:p>
    <w:p w14:paraId="6D2985BE" w14:textId="77777777" w:rsidR="006A1899" w:rsidRDefault="008C6249">
      <w:pPr>
        <w:tabs>
          <w:tab w:val="center" w:pos="2223"/>
          <w:tab w:val="right" w:pos="10193"/>
        </w:tabs>
        <w:spacing w:after="0" w:line="259" w:lineRule="auto"/>
        <w:ind w:left="0" w:right="-11" w:firstLine="0"/>
      </w:pPr>
      <w:r>
        <w:rPr>
          <w:rFonts w:ascii="Calibri" w:eastAsia="Calibri" w:hAnsi="Calibri" w:cs="Calibri"/>
        </w:rPr>
        <w:tab/>
      </w:r>
      <w:r>
        <w:t xml:space="preserve"> </w:t>
      </w:r>
      <w:r>
        <w:tab/>
        <w:t xml:space="preserve">Pennsylvania State University College of Medicine </w:t>
      </w:r>
    </w:p>
    <w:p w14:paraId="6CFCA8F5" w14:textId="77777777" w:rsidR="006A1899" w:rsidRDefault="008C6249">
      <w:pPr>
        <w:tabs>
          <w:tab w:val="center" w:pos="5161"/>
          <w:tab w:val="right" w:pos="10193"/>
        </w:tabs>
        <w:spacing w:after="0" w:line="259" w:lineRule="auto"/>
        <w:ind w:left="0" w:right="-11" w:firstLine="0"/>
      </w:pPr>
      <w:r>
        <w:rPr>
          <w:rFonts w:ascii="Calibri" w:eastAsia="Calibri" w:hAnsi="Calibri" w:cs="Calibri"/>
        </w:rPr>
        <w:tab/>
      </w:r>
      <w:r>
        <w:t xml:space="preserve"> </w:t>
      </w:r>
      <w:r>
        <w:tab/>
        <w:t xml:space="preserve">500 University Drive </w:t>
      </w:r>
    </w:p>
    <w:p w14:paraId="33EA9E3D" w14:textId="77777777" w:rsidR="006A1899" w:rsidRDefault="008C6249">
      <w:pPr>
        <w:tabs>
          <w:tab w:val="center" w:pos="4597"/>
          <w:tab w:val="right" w:pos="10193"/>
        </w:tabs>
        <w:spacing w:after="0" w:line="259" w:lineRule="auto"/>
        <w:ind w:left="0" w:right="-11" w:firstLine="0"/>
      </w:pPr>
      <w:r>
        <w:rPr>
          <w:rFonts w:ascii="Calibri" w:eastAsia="Calibri" w:hAnsi="Calibri" w:cs="Calibri"/>
        </w:rPr>
        <w:tab/>
      </w:r>
      <w:r>
        <w:t xml:space="preserve"> </w:t>
      </w:r>
      <w:r>
        <w:tab/>
        <w:t xml:space="preserve">Hershey, PA  17033-2390 </w:t>
      </w:r>
    </w:p>
    <w:p w14:paraId="4AC55EE7" w14:textId="77777777" w:rsidR="006A1899" w:rsidRDefault="008C6249">
      <w:pPr>
        <w:tabs>
          <w:tab w:val="center" w:pos="4866"/>
          <w:tab w:val="right" w:pos="10193"/>
        </w:tabs>
        <w:spacing w:after="0" w:line="259" w:lineRule="auto"/>
        <w:ind w:left="0" w:right="-11" w:firstLine="0"/>
      </w:pPr>
      <w:r>
        <w:rPr>
          <w:rFonts w:ascii="Calibri" w:eastAsia="Calibri" w:hAnsi="Calibri" w:cs="Calibri"/>
        </w:rPr>
        <w:tab/>
      </w:r>
      <w:r>
        <w:t xml:space="preserve"> </w:t>
      </w:r>
      <w:r>
        <w:tab/>
        <w:t>Phone: (</w:t>
      </w:r>
      <w:r w:rsidR="005A4283">
        <w:t>717</w:t>
      </w:r>
      <w:r>
        <w:t xml:space="preserve">) </w:t>
      </w:r>
      <w:r w:rsidR="005A4283">
        <w:t>531-4172</w:t>
      </w:r>
      <w:r>
        <w:t xml:space="preserve"> </w:t>
      </w:r>
    </w:p>
    <w:p w14:paraId="10D6AE78" w14:textId="77777777" w:rsidR="006A1899" w:rsidRDefault="008C6249">
      <w:pPr>
        <w:tabs>
          <w:tab w:val="center" w:pos="4559"/>
          <w:tab w:val="right" w:pos="10193"/>
        </w:tabs>
        <w:spacing w:after="107" w:line="259" w:lineRule="auto"/>
        <w:ind w:left="0" w:right="-11" w:firstLine="0"/>
      </w:pPr>
      <w:r>
        <w:rPr>
          <w:rFonts w:ascii="Calibri" w:eastAsia="Calibri" w:hAnsi="Calibri" w:cs="Calibri"/>
        </w:rPr>
        <w:tab/>
      </w:r>
      <w:r>
        <w:t xml:space="preserve"> </w:t>
      </w:r>
      <w:r>
        <w:tab/>
        <w:t xml:space="preserve">E-mail: wmk113@psu.edu </w:t>
      </w:r>
    </w:p>
    <w:p w14:paraId="16EFF050" w14:textId="77777777" w:rsidR="006A1899" w:rsidRDefault="008C6249">
      <w:pPr>
        <w:spacing w:after="98" w:line="259" w:lineRule="auto"/>
        <w:ind w:left="108" w:right="0" w:firstLine="0"/>
      </w:pPr>
      <w:r>
        <w:t xml:space="preserve"> </w:t>
      </w:r>
    </w:p>
    <w:p w14:paraId="0DE2E1D1" w14:textId="77777777" w:rsidR="006A1899" w:rsidRDefault="008C6249">
      <w:pPr>
        <w:pStyle w:val="Heading1"/>
        <w:spacing w:after="100"/>
        <w:ind w:left="103"/>
      </w:pPr>
      <w:r>
        <w:t>PERSONAL DATA</w:t>
      </w:r>
      <w:r>
        <w:rPr>
          <w:u w:val="none"/>
        </w:rPr>
        <w:t xml:space="preserve"> </w:t>
      </w:r>
    </w:p>
    <w:p w14:paraId="53FDBD9B" w14:textId="77777777" w:rsidR="006A1899" w:rsidRDefault="008C6249" w:rsidP="001F1F53">
      <w:pPr>
        <w:spacing w:after="111"/>
        <w:ind w:left="93" w:right="0" w:firstLine="0"/>
      </w:pPr>
      <w:r>
        <w:t xml:space="preserve">Citizenship – United States </w:t>
      </w:r>
      <w:r w:rsidR="001F1F53">
        <w:br/>
      </w:r>
      <w:r>
        <w:t xml:space="preserve">Home address – 416 N Main St, </w:t>
      </w:r>
      <w:r w:rsidR="004B7D09">
        <w:t xml:space="preserve">PO Box 254, </w:t>
      </w:r>
      <w:r>
        <w:t xml:space="preserve">Bernville PA 19506 </w:t>
      </w:r>
      <w:r w:rsidR="001F1F53">
        <w:br/>
      </w:r>
      <w:r>
        <w:t xml:space="preserve">Home telephone – (610) 750-0450 </w:t>
      </w:r>
      <w:r w:rsidR="001F1F53">
        <w:br/>
      </w:r>
    </w:p>
    <w:p w14:paraId="485FC35E" w14:textId="77777777" w:rsidR="006A1899" w:rsidRPr="001F1F53" w:rsidRDefault="008C6249" w:rsidP="001F1F53">
      <w:pPr>
        <w:spacing w:after="98" w:line="259" w:lineRule="auto"/>
        <w:ind w:left="108" w:right="0" w:firstLine="0"/>
        <w:rPr>
          <w:b/>
          <w:u w:val="single"/>
        </w:rPr>
      </w:pPr>
      <w:r w:rsidRPr="001F1F53">
        <w:rPr>
          <w:b/>
          <w:u w:val="single"/>
        </w:rPr>
        <w:t xml:space="preserve">EDUCATION </w:t>
      </w:r>
      <w:r w:rsidR="001F1F53" w:rsidRPr="001F1F53">
        <w:rPr>
          <w:b/>
          <w:u w:val="single"/>
        </w:rPr>
        <w:t>&amp;</w:t>
      </w:r>
      <w:r w:rsidRPr="001F1F53">
        <w:rPr>
          <w:b/>
          <w:u w:val="single"/>
        </w:rPr>
        <w:t xml:space="preserve"> TRAINING </w:t>
      </w:r>
    </w:p>
    <w:p w14:paraId="1CD6C1BF" w14:textId="77777777" w:rsidR="00533E60" w:rsidRDefault="00533E60" w:rsidP="00533E60">
      <w:pPr>
        <w:ind w:left="2160" w:hanging="2160"/>
      </w:pPr>
      <w:r>
        <w:t>08/10-07/12</w:t>
      </w:r>
      <w:r>
        <w:tab/>
        <w:t>Post-doctoral Fellow, Laboratory of Dr. Gregory Yochum, Department of Biochemistry &amp; Molecular Biology, Penn State College of Medicine, Hershey, PA.</w:t>
      </w:r>
      <w:r>
        <w:br/>
      </w:r>
    </w:p>
    <w:p w14:paraId="75D372A2" w14:textId="77777777" w:rsidR="00533E60" w:rsidRDefault="00533E60" w:rsidP="00533E60">
      <w:pPr>
        <w:ind w:left="2160" w:hanging="2160"/>
      </w:pPr>
      <w:r>
        <w:t xml:space="preserve">07/07-08/10  </w:t>
      </w:r>
      <w:r>
        <w:tab/>
        <w:t xml:space="preserve">Post-doctoral Fellow, Laboratory of Dr. Jeffery Shenberger, Department of Pediatrics, Penn State College of Medicine, Hershey, PA. </w:t>
      </w:r>
      <w:r>
        <w:br/>
      </w:r>
    </w:p>
    <w:p w14:paraId="4BE19E2C" w14:textId="77777777" w:rsidR="00533E60" w:rsidRDefault="00533E60" w:rsidP="00533E60">
      <w:pPr>
        <w:ind w:left="2160" w:hanging="2160"/>
      </w:pPr>
      <w:r>
        <w:t xml:space="preserve">08/01-07/07 </w:t>
      </w:r>
      <w:r>
        <w:tab/>
        <w:t>Ph.D. (Microbiology &amp; Immunology), Laboratory of Dr. Michael Katzman, Department of Medicine, Penn State College of Medicine, Hershey, PA. Thesis title: Identification of residues within the 35-amino-acid spacing region of Rous sarcoma virus integrase that are important for interactions with its viral and nonviral DNA substrates</w:t>
      </w:r>
      <w:r>
        <w:br/>
      </w:r>
    </w:p>
    <w:p w14:paraId="297DD86D" w14:textId="77777777" w:rsidR="00533E60" w:rsidRDefault="00533E60" w:rsidP="00533E60">
      <w:pPr>
        <w:ind w:left="2160" w:hanging="2160"/>
      </w:pPr>
      <w:r>
        <w:t>08/97-05/01</w:t>
      </w:r>
      <w:r>
        <w:tab/>
        <w:t>B.S. (Summa cum laude in Biology, minor in Chemistry), Wilkes University, Wilkes-Barre PA.</w:t>
      </w:r>
      <w:r>
        <w:tab/>
      </w:r>
      <w:r w:rsidR="001F1F53">
        <w:br/>
      </w:r>
    </w:p>
    <w:p w14:paraId="5BE48A4A" w14:textId="77777777" w:rsidR="006A1899" w:rsidRPr="001F1F53" w:rsidRDefault="008C6249" w:rsidP="001F1F53">
      <w:pPr>
        <w:ind w:left="2283" w:hanging="2190"/>
        <w:rPr>
          <w:b/>
          <w:u w:val="single"/>
        </w:rPr>
      </w:pPr>
      <w:r>
        <w:t xml:space="preserve"> </w:t>
      </w:r>
      <w:r w:rsidRPr="001F1F53">
        <w:rPr>
          <w:b/>
          <w:u w:val="single"/>
        </w:rPr>
        <w:t xml:space="preserve">PROFESSIONAL POSITIONS </w:t>
      </w:r>
    </w:p>
    <w:p w14:paraId="699A17AA" w14:textId="77777777" w:rsidR="00E74B64" w:rsidRDefault="00E74B64" w:rsidP="00E74B64">
      <w:pPr>
        <w:ind w:left="2160" w:hanging="2160"/>
      </w:pPr>
      <w:r>
        <w:t>07/21-Present</w:t>
      </w:r>
      <w:r>
        <w:tab/>
        <w:t>Assistant Professor, Department of Pharmacology, Penn State College of Medicine, Hershey PA</w:t>
      </w:r>
      <w:r>
        <w:br/>
      </w:r>
    </w:p>
    <w:p w14:paraId="578ACC58" w14:textId="77777777" w:rsidR="00E74B64" w:rsidRDefault="00E74B64" w:rsidP="00E74B64">
      <w:pPr>
        <w:ind w:left="2160" w:hanging="2160"/>
      </w:pPr>
      <w:r>
        <w:t xml:space="preserve">05/17-07/21  </w:t>
      </w:r>
      <w:r>
        <w:tab/>
        <w:t xml:space="preserve">Research Project Manager, Drug Discovery, Development, and Delivery Core, Department of Pharmacology, Penn State College of Medicine, Hershey PA </w:t>
      </w:r>
      <w:r>
        <w:br/>
      </w:r>
    </w:p>
    <w:p w14:paraId="02CE21EA" w14:textId="77777777" w:rsidR="00E74B64" w:rsidRDefault="00E74B64" w:rsidP="00E74B64">
      <w:pPr>
        <w:ind w:left="2160" w:hanging="2160"/>
      </w:pPr>
      <w:r>
        <w:t xml:space="preserve">05/16-05/17 </w:t>
      </w:r>
      <w:r>
        <w:tab/>
        <w:t xml:space="preserve">Research Associate Faculty, Laboratory of Dr. Alaa Awad, Department of Medicine, Penn State College of Medicine, Hershey, PA. </w:t>
      </w:r>
      <w:r>
        <w:br/>
      </w:r>
    </w:p>
    <w:p w14:paraId="38F7CE99" w14:textId="77777777" w:rsidR="00E74B64" w:rsidRDefault="00E74B64" w:rsidP="00E74B64">
      <w:pPr>
        <w:ind w:left="2160" w:hanging="2160"/>
      </w:pPr>
      <w:r>
        <w:t xml:space="preserve">06/15-04/16 </w:t>
      </w:r>
      <w:r>
        <w:tab/>
        <w:t xml:space="preserve">Research Associate Faculty, Laboratory of Dr. W. Brian Reeves, Department of Medicine, Penn State College of Medicine, Hershey, PA. </w:t>
      </w:r>
      <w:r>
        <w:br/>
      </w:r>
    </w:p>
    <w:p w14:paraId="15BD8D18" w14:textId="77777777" w:rsidR="001F1F53" w:rsidRDefault="00E74B64" w:rsidP="001F1F53">
      <w:pPr>
        <w:ind w:left="2160" w:hanging="2160"/>
      </w:pPr>
      <w:r>
        <w:t xml:space="preserve">07/12-06/15 </w:t>
      </w:r>
      <w:r>
        <w:tab/>
        <w:t>Research Associate Faculty, Laboratory of Dr. Gregory Yochum, Department of Biochemistry and Molecular Biology, Penn State College of Medicine, Hershey, PA.</w:t>
      </w:r>
      <w:r w:rsidR="001F1F53">
        <w:br/>
      </w:r>
      <w:r>
        <w:t xml:space="preserve"> </w:t>
      </w:r>
      <w:r w:rsidR="001F1F53">
        <w:br/>
      </w:r>
    </w:p>
    <w:p w14:paraId="23DA7D1B" w14:textId="77777777" w:rsidR="001F1F53" w:rsidRDefault="001F1F53" w:rsidP="001F1F53">
      <w:pPr>
        <w:ind w:left="2160" w:hanging="2160"/>
        <w:rPr>
          <w:b/>
          <w:u w:val="single"/>
        </w:rPr>
      </w:pPr>
      <w:r w:rsidRPr="001F1F53">
        <w:rPr>
          <w:b/>
          <w:u w:val="single"/>
        </w:rPr>
        <w:lastRenderedPageBreak/>
        <w:t xml:space="preserve">APPOINTED ACADEMIC POSITIONS </w:t>
      </w:r>
    </w:p>
    <w:p w14:paraId="07EC2FBF" w14:textId="1C3BB1CD" w:rsidR="00BF1F8A" w:rsidRDefault="00BF1F8A" w:rsidP="001F1F53">
      <w:pPr>
        <w:ind w:left="2160" w:hanging="2160"/>
      </w:pPr>
      <w:r>
        <w:t>11</w:t>
      </w:r>
      <w:r w:rsidRPr="0046411D">
        <w:t>/23-Pr</w:t>
      </w:r>
      <w:r>
        <w:t>e</w:t>
      </w:r>
      <w:r w:rsidRPr="0046411D">
        <w:t>sent</w:t>
      </w:r>
      <w:r w:rsidRPr="0046411D">
        <w:tab/>
      </w:r>
      <w:r>
        <w:t>Chair</w:t>
      </w:r>
      <w:r w:rsidRPr="0046411D">
        <w:t xml:space="preserve"> – </w:t>
      </w:r>
      <w:r>
        <w:t xml:space="preserve">Diversity, </w:t>
      </w:r>
      <w:r w:rsidR="00AB52F0">
        <w:t>Equity</w:t>
      </w:r>
      <w:r>
        <w:t>, &amp; Belonging Student Mentorship Workgroup</w:t>
      </w:r>
      <w:r w:rsidRPr="0046411D">
        <w:t>, Penn</w:t>
      </w:r>
      <w:r>
        <w:t xml:space="preserve"> State College of Medicine, Hershey PA</w:t>
      </w:r>
      <w:r>
        <w:br/>
      </w:r>
    </w:p>
    <w:p w14:paraId="0FFE2ECE" w14:textId="7A28BD1E" w:rsidR="00303AEE" w:rsidRDefault="00303AEE" w:rsidP="001F1F53">
      <w:pPr>
        <w:ind w:left="2160" w:hanging="2160"/>
      </w:pPr>
      <w:r>
        <w:t>0</w:t>
      </w:r>
      <w:r w:rsidR="0046411D" w:rsidRPr="0046411D">
        <w:t>8/23-Pr</w:t>
      </w:r>
      <w:r w:rsidR="0046411D">
        <w:t>e</w:t>
      </w:r>
      <w:r w:rsidR="0046411D" w:rsidRPr="0046411D">
        <w:t>sent</w:t>
      </w:r>
      <w:r w:rsidR="0046411D" w:rsidRPr="0046411D">
        <w:tab/>
        <w:t>Biomedical Sciences</w:t>
      </w:r>
      <w:r w:rsidR="0046411D">
        <w:t xml:space="preserve"> </w:t>
      </w:r>
      <w:r w:rsidR="0046411D" w:rsidRPr="0046411D">
        <w:t>Graduate Program – Admissions Committee, Penn</w:t>
      </w:r>
      <w:r w:rsidR="0046411D">
        <w:t xml:space="preserve"> State College of Medicine, Hershey PA</w:t>
      </w:r>
      <w:r>
        <w:br/>
      </w:r>
    </w:p>
    <w:p w14:paraId="25565EF1" w14:textId="77777777" w:rsidR="0046411D" w:rsidRPr="0046411D" w:rsidRDefault="00303AEE" w:rsidP="001F1F53">
      <w:pPr>
        <w:ind w:left="2160" w:hanging="2160"/>
      </w:pPr>
      <w:r>
        <w:t>07/23-Present</w:t>
      </w:r>
      <w:r>
        <w:tab/>
        <w:t>Junior Faculty Development Program – Mentor, Penn State College of Medicine, Hershey PA</w:t>
      </w:r>
      <w:r w:rsidR="0046411D">
        <w:br/>
      </w:r>
    </w:p>
    <w:p w14:paraId="7D850FAD" w14:textId="0C272A45" w:rsidR="001F1F53" w:rsidRDefault="001F1F53" w:rsidP="001F1F53">
      <w:pPr>
        <w:ind w:left="2160" w:hanging="2160"/>
      </w:pPr>
      <w:r>
        <w:t>12/22-Present</w:t>
      </w:r>
      <w:r>
        <w:tab/>
        <w:t xml:space="preserve">Diversity, </w:t>
      </w:r>
      <w:r w:rsidR="00AB52F0">
        <w:t>Equity</w:t>
      </w:r>
      <w:r>
        <w:t>, &amp; Belonging Champion, Department of Pharmacology, Penn State College of Medicine, Hershey PA</w:t>
      </w:r>
      <w:r>
        <w:br/>
      </w:r>
    </w:p>
    <w:p w14:paraId="74B74EAA" w14:textId="77777777" w:rsidR="001F1F53" w:rsidRDefault="001F1F53" w:rsidP="001F1F53">
      <w:pPr>
        <w:ind w:left="2160" w:hanging="2160"/>
      </w:pPr>
      <w:r>
        <w:t>5/22-Present</w:t>
      </w:r>
      <w:r>
        <w:tab/>
        <w:t>Diversity Council, Department of Pharmacology, Penn State College of Medicine, Hershey PA</w:t>
      </w:r>
      <w:r>
        <w:br/>
      </w:r>
    </w:p>
    <w:p w14:paraId="3751C279" w14:textId="3CB41100" w:rsidR="001F1F53" w:rsidRDefault="001F1F53" w:rsidP="001F1F53">
      <w:pPr>
        <w:ind w:left="2160" w:hanging="2160"/>
      </w:pPr>
      <w:r>
        <w:t>03/19-Present</w:t>
      </w:r>
      <w:r>
        <w:tab/>
        <w:t>Scientific Director, Center for Cannabis and Natural Product Pharmaceutics</w:t>
      </w:r>
      <w:r w:rsidR="006F038E">
        <w:t xml:space="preserve"> (CCNPP)</w:t>
      </w:r>
      <w:r>
        <w:t xml:space="preserve"> Penn State College of Medicine, Hershey PA</w:t>
      </w:r>
      <w:r>
        <w:br/>
      </w:r>
    </w:p>
    <w:p w14:paraId="569E7964" w14:textId="77777777" w:rsidR="001F1F53" w:rsidRDefault="001F1F53" w:rsidP="001F1F53">
      <w:r>
        <w:t>12/18-06/23</w:t>
      </w:r>
      <w:r>
        <w:tab/>
      </w:r>
      <w:r>
        <w:tab/>
        <w:t>Institutional Biosafety Committee, Penn State College of Medicine, Hershey PA</w:t>
      </w:r>
      <w:r>
        <w:br/>
      </w:r>
    </w:p>
    <w:p w14:paraId="18A3DE94" w14:textId="77777777" w:rsidR="001F1F53" w:rsidRPr="00470B9E" w:rsidRDefault="001F1F53" w:rsidP="001F1F53">
      <w:pPr>
        <w:ind w:left="2160" w:hanging="2160"/>
      </w:pPr>
      <w:r>
        <w:t>05/17-Present</w:t>
      </w:r>
      <w:r>
        <w:tab/>
        <w:t>Manager Drug Discovery, Development, &amp; Delivery (D4) Core, Department of Pharmacology, Penn State College of Medicine, Hershey PA</w:t>
      </w:r>
    </w:p>
    <w:p w14:paraId="619E80CC" w14:textId="77777777" w:rsidR="001F1F53" w:rsidRDefault="001F1F53" w:rsidP="00E74B64">
      <w:pPr>
        <w:ind w:left="2160" w:hanging="2160"/>
      </w:pPr>
    </w:p>
    <w:p w14:paraId="18BFF252" w14:textId="77777777" w:rsidR="00E74B64" w:rsidRDefault="00E74B64" w:rsidP="00E74B64"/>
    <w:p w14:paraId="16BFEFF6" w14:textId="77777777" w:rsidR="001F1F53" w:rsidRDefault="00E74B64" w:rsidP="001F1F53">
      <w:pPr>
        <w:rPr>
          <w:b/>
          <w:u w:val="single"/>
        </w:rPr>
      </w:pPr>
      <w:r>
        <w:rPr>
          <w:b/>
          <w:u w:val="single"/>
        </w:rPr>
        <w:t>GRANTS</w:t>
      </w:r>
    </w:p>
    <w:p w14:paraId="5C655E5F" w14:textId="1DB791E7" w:rsidR="009136DF" w:rsidRDefault="009136DF" w:rsidP="001F1F53">
      <w:pPr>
        <w:ind w:left="2160" w:hanging="2160"/>
      </w:pPr>
      <w:r>
        <w:t>2/23-11/27</w:t>
      </w:r>
      <w:r>
        <w:tab/>
        <w:t>NIH (NCCIH) R01AT012053-01: “AI-based mapping of complex cannabis Extracts in pain pathways” (C</w:t>
      </w:r>
      <w:r w:rsidR="006F038E">
        <w:t>o</w:t>
      </w:r>
      <w:r>
        <w:t>-I)</w:t>
      </w:r>
      <w:r>
        <w:br/>
      </w:r>
    </w:p>
    <w:p w14:paraId="37E25095" w14:textId="0F740CD8" w:rsidR="00E74B64" w:rsidRDefault="009136DF" w:rsidP="00E74B64">
      <w:pPr>
        <w:ind w:left="2160" w:hanging="2160"/>
      </w:pPr>
      <w:r>
        <w:t>7/19-7/29</w:t>
      </w:r>
      <w:r>
        <w:tab/>
        <w:t>PA Options for Wellness: “Center for medical cannabinoids” (C</w:t>
      </w:r>
      <w:r w:rsidR="006F038E">
        <w:t>o</w:t>
      </w:r>
      <w:r>
        <w:t>-I)</w:t>
      </w:r>
      <w:r>
        <w:br/>
      </w:r>
    </w:p>
    <w:p w14:paraId="003A3774" w14:textId="77777777" w:rsidR="00E74B64" w:rsidRPr="00E74B64" w:rsidRDefault="00E74B64" w:rsidP="00E74B64">
      <w:pPr>
        <w:ind w:left="2160" w:hanging="2160"/>
      </w:pPr>
      <w:r w:rsidRPr="00E74B64">
        <w:t>10/15-10/16</w:t>
      </w:r>
      <w:r w:rsidRPr="00E74B64">
        <w:tab/>
        <w:t>Penn State College of Medicine, Department of Medicine Pilot Project Grant: “The role of PAD4 in ischemia-induced acute kidney injury” (PI)</w:t>
      </w:r>
    </w:p>
    <w:p w14:paraId="546E1004" w14:textId="77777777" w:rsidR="006A1899" w:rsidRDefault="008C6249">
      <w:pPr>
        <w:spacing w:after="0" w:line="259" w:lineRule="auto"/>
        <w:ind w:left="2268" w:right="0" w:firstLine="0"/>
      </w:pPr>
      <w:r>
        <w:t xml:space="preserve"> </w:t>
      </w:r>
    </w:p>
    <w:p w14:paraId="1D69501C" w14:textId="77777777" w:rsidR="006A1899" w:rsidRDefault="008C6249" w:rsidP="00D576FC">
      <w:pPr>
        <w:pStyle w:val="Heading1"/>
        <w:ind w:left="0" w:firstLine="0"/>
        <w:rPr>
          <w:u w:val="none"/>
        </w:rPr>
      </w:pPr>
      <w:r>
        <w:t>TEACHING EXPERIENCE</w:t>
      </w:r>
      <w:r>
        <w:rPr>
          <w:u w:val="none"/>
        </w:rPr>
        <w:t xml:space="preserve"> </w:t>
      </w:r>
    </w:p>
    <w:p w14:paraId="6C32FE30" w14:textId="77777777" w:rsidR="001F1F53" w:rsidRDefault="00D576FC" w:rsidP="001F1F53">
      <w:pPr>
        <w:ind w:left="2160" w:hanging="2160"/>
      </w:pPr>
      <w:r>
        <w:t>08/24-Present</w:t>
      </w:r>
      <w:r>
        <w:tab/>
        <w:t>Penn State College of Medicine, Foundations in Health Humanities</w:t>
      </w:r>
      <w:r w:rsidR="00E71EEA">
        <w:t xml:space="preserve">.  This </w:t>
      </w:r>
      <w:r w:rsidR="001F1F53">
        <w:t>course is required for all first year medical and physician assistant students.  Responsibilities include: facilitating small group discussions, evaluating individual projects, and reviewing discussion posts.</w:t>
      </w:r>
      <w:r w:rsidR="001F1F53">
        <w:br/>
      </w:r>
    </w:p>
    <w:p w14:paraId="7B4E643B" w14:textId="77777777" w:rsidR="00D576FC" w:rsidRPr="00D576FC" w:rsidRDefault="001F1F53" w:rsidP="001F1F53">
      <w:pPr>
        <w:ind w:left="2160" w:hanging="2160"/>
      </w:pPr>
      <w:r>
        <w:t>05/23-Present</w:t>
      </w:r>
      <w:r>
        <w:tab/>
        <w:t xml:space="preserve">Penn State College of Medicine, Graduate Faculty Member.  Responsibilities include: mentoring rotating students, oral exam evaluator, mentoring graduate student and undergraduate student research projects, and student interviews.  </w:t>
      </w:r>
      <w:r w:rsidR="00D576FC">
        <w:br/>
      </w:r>
    </w:p>
    <w:p w14:paraId="096821C0" w14:textId="77777777" w:rsidR="009136DF" w:rsidRDefault="009136DF" w:rsidP="00D576FC">
      <w:pPr>
        <w:ind w:left="2160" w:hanging="2160"/>
      </w:pPr>
      <w:r>
        <w:t xml:space="preserve">08/18-12/18 </w:t>
      </w:r>
      <w:r>
        <w:tab/>
        <w:t xml:space="preserve">Adjunct Instructor Elizabethtown College – Bio 111 Freshman Biology Lab Only.  This course is the lab portion for biology majors.  Responsibilities included: preparing pre-lab lectures, grading exams, and evaluating lab reports. </w:t>
      </w:r>
      <w:r w:rsidR="00D576FC">
        <w:br/>
      </w:r>
    </w:p>
    <w:p w14:paraId="7AE36F08" w14:textId="77777777" w:rsidR="009136DF" w:rsidRDefault="009136DF" w:rsidP="00D576FC">
      <w:pPr>
        <w:ind w:left="2160" w:hanging="2160"/>
      </w:pPr>
      <w:r>
        <w:t xml:space="preserve">01/18-05/18 </w:t>
      </w:r>
      <w:r>
        <w:tab/>
        <w:t>Adjunct Instructor Elizabethtown College – Bio 101 Introduction to Biology.  This course includes a lecture and lab portion; however, I only taught the lecture portion.</w:t>
      </w:r>
      <w:r w:rsidR="00D576FC">
        <w:t xml:space="preserve">  </w:t>
      </w:r>
      <w:r>
        <w:t xml:space="preserve">Responsibilities included: preparing two lectures a week, writing exams </w:t>
      </w:r>
      <w:r>
        <w:lastRenderedPageBreak/>
        <w:t xml:space="preserve">and </w:t>
      </w:r>
      <w:r w:rsidR="00D576FC">
        <w:t>quizzes</w:t>
      </w:r>
      <w:r>
        <w:t xml:space="preserve">, and evaluating reports and oral presentations. </w:t>
      </w:r>
      <w:r w:rsidR="00D576FC">
        <w:br/>
      </w:r>
    </w:p>
    <w:p w14:paraId="02276D29" w14:textId="77777777" w:rsidR="009136DF" w:rsidRDefault="009136DF" w:rsidP="00D576FC">
      <w:pPr>
        <w:ind w:left="2160" w:hanging="2160"/>
      </w:pPr>
      <w:r>
        <w:t xml:space="preserve">08/17-12/17 </w:t>
      </w:r>
      <w:r>
        <w:tab/>
        <w:t>Adjunct Instructor Elizabethtown College – Bio 111 Freshman Biology.  This course includes a lecture and lab portion designed for biology majors.  Responsibilities included: preparing three lectures a week, writing exams and qui</w:t>
      </w:r>
      <w:r w:rsidR="00D576FC">
        <w:t>z</w:t>
      </w:r>
      <w:r>
        <w:t xml:space="preserve">zes, and evaluating lab reports. </w:t>
      </w:r>
      <w:r w:rsidR="00D576FC">
        <w:br/>
      </w:r>
    </w:p>
    <w:p w14:paraId="3D937D0F" w14:textId="77777777" w:rsidR="009136DF" w:rsidRDefault="009136DF" w:rsidP="00D576FC">
      <w:pPr>
        <w:ind w:left="2160" w:hanging="2160"/>
      </w:pPr>
      <w:r>
        <w:t xml:space="preserve">01/17-05/17 </w:t>
      </w:r>
      <w:r>
        <w:tab/>
        <w:t xml:space="preserve">Adjunct Instructor Lebanon Valley College – Physiology lab.  This course is a lab section for sophomore physical therapy students.  Responsibilities included: preparing prelab lectures, grading lab reports, and assisting students during lab. </w:t>
      </w:r>
      <w:r w:rsidR="00D576FC">
        <w:br/>
      </w:r>
    </w:p>
    <w:p w14:paraId="5E318702" w14:textId="77777777" w:rsidR="009136DF" w:rsidRDefault="009136DF" w:rsidP="00D576FC">
      <w:pPr>
        <w:ind w:left="2160" w:hanging="2160"/>
      </w:pPr>
      <w:r>
        <w:t xml:space="preserve">01/16-05/16 </w:t>
      </w:r>
      <w:r>
        <w:tab/>
        <w:t>Adjunct Instructor Lebanon Valley College – MCMB 401 Molecular Biology.  This course includes a lecture and lab section.  Responsibilities included: preparing three lectures a week, writing exams, prepping labs, and evaluating lab reports and oral presentations.</w:t>
      </w:r>
      <w:r w:rsidR="00D576FC">
        <w:br/>
      </w:r>
      <w:r>
        <w:t xml:space="preserve"> </w:t>
      </w:r>
    </w:p>
    <w:p w14:paraId="2D155169" w14:textId="77777777" w:rsidR="009136DF" w:rsidRDefault="009136DF" w:rsidP="00D576FC">
      <w:pPr>
        <w:ind w:left="2160" w:hanging="2160"/>
      </w:pPr>
      <w:r>
        <w:t xml:space="preserve">01/15-05/15 </w:t>
      </w:r>
      <w:r>
        <w:tab/>
        <w:t xml:space="preserve">Instructor Penn State Schuylkill – Biology 142 Physiology Lab.  This course is taught to first year nursing students.  Responsibilities included: preparing prelab lectures, writing exams, online quizzes, and assisting students during lab.   </w:t>
      </w:r>
      <w:r w:rsidR="00D576FC">
        <w:br/>
      </w:r>
    </w:p>
    <w:p w14:paraId="25E10263" w14:textId="77777777" w:rsidR="009136DF" w:rsidRDefault="009136DF" w:rsidP="00D576FC">
      <w:pPr>
        <w:ind w:left="2160" w:hanging="2160"/>
      </w:pPr>
      <w:r>
        <w:t xml:space="preserve">2003-2006 </w:t>
      </w:r>
      <w:r>
        <w:tab/>
        <w:t xml:space="preserve">Teaching Assistant - Medical Microbiology Laboratory, taught to first year medical and graduate students.  Responsibilities included: preparing for one laboratory, introductory lecture for one laboratory, grading reports for one laboratory, and assisting students during the entire five laboratory course. </w:t>
      </w:r>
      <w:r w:rsidR="00D576FC">
        <w:br/>
      </w:r>
    </w:p>
    <w:p w14:paraId="44255041" w14:textId="77777777" w:rsidR="006A1899" w:rsidRDefault="009136DF" w:rsidP="00D576FC">
      <w:pPr>
        <w:ind w:left="2160" w:hanging="2160"/>
      </w:pPr>
      <w:r>
        <w:t xml:space="preserve">1998-2001  </w:t>
      </w:r>
      <w:r>
        <w:tab/>
        <w:t xml:space="preserve">Teaching Assistant - Various Freshman and Sophomore Biology and Chemistry Laboratories, including organic chemistry, cell and molecular biology, and population &amp; evolutionary biology.  Responsibilities included: assisting students with experiments during the laboratory period and grading biology lab reports/notebooks. </w:t>
      </w:r>
      <w:r w:rsidR="00D576FC">
        <w:tab/>
      </w:r>
      <w:r w:rsidR="008C6249">
        <w:t xml:space="preserve"> </w:t>
      </w:r>
      <w:r w:rsidR="00D576FC">
        <w:br/>
      </w:r>
    </w:p>
    <w:p w14:paraId="6684A19B" w14:textId="77777777" w:rsidR="006A1899" w:rsidRDefault="008C6249" w:rsidP="00D576FC">
      <w:pPr>
        <w:pStyle w:val="Heading1"/>
        <w:spacing w:after="98"/>
        <w:ind w:left="0" w:firstLine="0"/>
        <w:rPr>
          <w:b w:val="0"/>
          <w:u w:val="none"/>
        </w:rPr>
      </w:pPr>
      <w:r>
        <w:t>M</w:t>
      </w:r>
      <w:r w:rsidR="00D576FC">
        <w:t>EMBERSHIPS</w:t>
      </w:r>
      <w:r>
        <w:t xml:space="preserve"> </w:t>
      </w:r>
      <w:r w:rsidR="00D576FC">
        <w:t>&amp;</w:t>
      </w:r>
      <w:r>
        <w:t xml:space="preserve"> A</w:t>
      </w:r>
      <w:r w:rsidR="00D576FC">
        <w:t>WARDS</w:t>
      </w:r>
      <w:r>
        <w:rPr>
          <w:b w:val="0"/>
          <w:u w:val="none"/>
        </w:rPr>
        <w:t xml:space="preserve"> </w:t>
      </w:r>
    </w:p>
    <w:p w14:paraId="0938A8E7" w14:textId="77777777" w:rsidR="008C6249" w:rsidRPr="008C6249" w:rsidRDefault="008C6249" w:rsidP="008C6249">
      <w:r>
        <w:t>2020-Present</w:t>
      </w:r>
      <w:r>
        <w:tab/>
      </w:r>
      <w:r>
        <w:tab/>
        <w:t xml:space="preserve">  International Cannabinoid Research Society</w:t>
      </w:r>
    </w:p>
    <w:p w14:paraId="5DB4677B" w14:textId="77777777" w:rsidR="006A1899" w:rsidRDefault="008C6249" w:rsidP="00493ED5">
      <w:pPr>
        <w:tabs>
          <w:tab w:val="center" w:pos="1548"/>
          <w:tab w:val="center" w:pos="3841"/>
        </w:tabs>
        <w:spacing w:after="117"/>
        <w:ind w:left="0" w:right="0" w:firstLine="0"/>
      </w:pPr>
      <w:r>
        <w:t xml:space="preserve">2016-2017 </w:t>
      </w:r>
      <w:r>
        <w:tab/>
        <w:t xml:space="preserve"> </w:t>
      </w:r>
      <w:r>
        <w:tab/>
        <w:t xml:space="preserve">American Society of Nephrology </w:t>
      </w:r>
      <w:r w:rsidR="001F1F53">
        <w:br/>
      </w:r>
      <w:r>
        <w:t xml:space="preserve">2011-2016 </w:t>
      </w:r>
      <w:r>
        <w:tab/>
        <w:t xml:space="preserve"> </w:t>
      </w:r>
      <w:r w:rsidR="001F1F53">
        <w:tab/>
        <w:t xml:space="preserve">           </w:t>
      </w:r>
      <w:r>
        <w:t xml:space="preserve">American Association for the Advancement of Sciences </w:t>
      </w:r>
      <w:r w:rsidR="001F1F53">
        <w:br/>
      </w:r>
      <w:r>
        <w:t>2001</w:t>
      </w:r>
      <w:r w:rsidR="001F1F53">
        <w:tab/>
        <w:t xml:space="preserve">           </w:t>
      </w:r>
      <w:r>
        <w:t xml:space="preserve"> </w:t>
      </w:r>
      <w:r>
        <w:tab/>
        <w:t xml:space="preserve">Rosenthal Memorial Award for Excellence in Organismal Research  </w:t>
      </w:r>
      <w:r w:rsidR="00493ED5">
        <w:br/>
      </w:r>
      <w:r>
        <w:t xml:space="preserve">2001 </w:t>
      </w:r>
      <w:r>
        <w:tab/>
        <w:t xml:space="preserve"> </w:t>
      </w:r>
      <w:r>
        <w:tab/>
      </w:r>
      <w:r w:rsidR="00493ED5">
        <w:t xml:space="preserve">        </w:t>
      </w:r>
      <w:r>
        <w:t>Sigma Xi- Scientific Research Society</w:t>
      </w:r>
      <w:r w:rsidR="00493ED5">
        <w:br/>
      </w:r>
      <w:r>
        <w:t xml:space="preserve">2001 </w:t>
      </w:r>
      <w:r>
        <w:tab/>
        <w:t xml:space="preserve"> </w:t>
      </w:r>
      <w:r>
        <w:tab/>
      </w:r>
      <w:r w:rsidR="00493ED5">
        <w:t xml:space="preserve">          </w:t>
      </w:r>
      <w:r>
        <w:t xml:space="preserve">Beta Beta Beta- Biology Honor Society </w:t>
      </w:r>
      <w:r w:rsidR="00493ED5">
        <w:br/>
      </w:r>
      <w:r>
        <w:t xml:space="preserve">1999 </w:t>
      </w:r>
      <w:r>
        <w:tab/>
        <w:t xml:space="preserve"> </w:t>
      </w:r>
      <w:r w:rsidR="00493ED5">
        <w:t xml:space="preserve">                           </w:t>
      </w:r>
      <w:r>
        <w:t>Alpha Chi- Honor Society</w:t>
      </w:r>
      <w:r w:rsidR="00493ED5">
        <w:br/>
      </w:r>
      <w:r>
        <w:t xml:space="preserve">1998-2001 </w:t>
      </w:r>
      <w:r>
        <w:tab/>
        <w:t xml:space="preserve"> </w:t>
      </w:r>
      <w:r>
        <w:tab/>
      </w:r>
      <w:r w:rsidR="00493ED5">
        <w:t xml:space="preserve">          </w:t>
      </w:r>
      <w:r>
        <w:t>Dean’s List Wilkes University (all 8 terms)</w:t>
      </w:r>
      <w:r w:rsidR="00493ED5">
        <w:br/>
        <w:t>1</w:t>
      </w:r>
      <w:r>
        <w:t xml:space="preserve">998 </w:t>
      </w:r>
      <w:r>
        <w:tab/>
        <w:t xml:space="preserve"> </w:t>
      </w:r>
      <w:r>
        <w:tab/>
      </w:r>
      <w:r w:rsidR="00493ED5">
        <w:t xml:space="preserve">          </w:t>
      </w:r>
      <w:r>
        <w:t>Phi Eta Sigma- Freshman Honor Society</w:t>
      </w:r>
      <w:r w:rsidR="00493ED5">
        <w:br/>
      </w:r>
      <w:r>
        <w:t xml:space="preserve">1996 </w:t>
      </w:r>
      <w:r>
        <w:tab/>
        <w:t xml:space="preserve"> </w:t>
      </w:r>
      <w:r w:rsidR="00493ED5">
        <w:t xml:space="preserve">          </w:t>
      </w:r>
      <w:r>
        <w:tab/>
        <w:t>National Merit Scholarship Program Commended Student</w:t>
      </w:r>
      <w:r w:rsidR="00493ED5">
        <w:br/>
      </w:r>
      <w:r>
        <w:t xml:space="preserve">06/96-08/96 </w:t>
      </w:r>
      <w:r w:rsidR="00493ED5">
        <w:t xml:space="preserve">                </w:t>
      </w:r>
      <w:r>
        <w:tab/>
        <w:t xml:space="preserve">Villanova University-HHMI-NSF Young Scholars Program in Biology and </w:t>
      </w:r>
      <w:r w:rsidR="00493ED5">
        <w:t xml:space="preserve">    </w:t>
      </w:r>
      <w:r w:rsidR="00493ED5">
        <w:br/>
        <w:t xml:space="preserve">                                    </w:t>
      </w:r>
      <w:r>
        <w:t xml:space="preserve">Mathematics </w:t>
      </w:r>
    </w:p>
    <w:p w14:paraId="6CF2B10C" w14:textId="77777777" w:rsidR="00493ED5" w:rsidRDefault="00493ED5">
      <w:pPr>
        <w:pStyle w:val="Heading1"/>
        <w:spacing w:after="98"/>
        <w:ind w:left="103"/>
      </w:pPr>
    </w:p>
    <w:p w14:paraId="357F119F" w14:textId="5E16E98F" w:rsidR="006A1899" w:rsidRDefault="008C6249">
      <w:pPr>
        <w:pStyle w:val="Heading1"/>
        <w:spacing w:after="98"/>
        <w:ind w:left="103"/>
        <w:rPr>
          <w:u w:val="none"/>
        </w:rPr>
      </w:pPr>
      <w:r>
        <w:t>PUBLICATIONS</w:t>
      </w:r>
      <w:r>
        <w:rPr>
          <w:u w:val="none"/>
        </w:rPr>
        <w:t xml:space="preserve"> </w:t>
      </w:r>
      <w:r w:rsidR="00C85A24" w:rsidRPr="004054E8">
        <w:rPr>
          <w:b w:val="0"/>
          <w:i/>
          <w:u w:val="none"/>
        </w:rPr>
        <w:t>(H-index</w:t>
      </w:r>
      <w:r w:rsidR="004054E8" w:rsidRPr="004054E8">
        <w:rPr>
          <w:b w:val="0"/>
          <w:i/>
          <w:u w:val="none"/>
        </w:rPr>
        <w:t xml:space="preserve"> 1</w:t>
      </w:r>
      <w:r w:rsidR="00F7060C">
        <w:rPr>
          <w:b w:val="0"/>
          <w:i/>
          <w:u w:val="none"/>
        </w:rPr>
        <w:t>9</w:t>
      </w:r>
      <w:r w:rsidR="004054E8" w:rsidRPr="004054E8">
        <w:rPr>
          <w:b w:val="0"/>
          <w:i/>
          <w:u w:val="none"/>
        </w:rPr>
        <w:t>, Google Scholar</w:t>
      </w:r>
      <w:r w:rsidR="002F1FC9">
        <w:rPr>
          <w:b w:val="0"/>
          <w:i/>
          <w:u w:val="none"/>
        </w:rPr>
        <w:t>, * indicates corresponding author</w:t>
      </w:r>
      <w:r w:rsidR="004054E8" w:rsidRPr="004054E8">
        <w:rPr>
          <w:b w:val="0"/>
          <w:i/>
          <w:u w:val="none"/>
        </w:rPr>
        <w:t>)</w:t>
      </w:r>
    </w:p>
    <w:p w14:paraId="66D3C8C4" w14:textId="77777777" w:rsidR="00305F50" w:rsidRPr="00305F50" w:rsidRDefault="00305F50" w:rsidP="00305F50">
      <w:pPr>
        <w:rPr>
          <w:i/>
        </w:rPr>
      </w:pPr>
      <w:r w:rsidRPr="00305F50">
        <w:rPr>
          <w:i/>
        </w:rPr>
        <w:t>Journal Articles</w:t>
      </w:r>
    </w:p>
    <w:p w14:paraId="63701E16" w14:textId="40BDC252" w:rsidR="002F1FC9" w:rsidRDefault="002F1FC9" w:rsidP="002F1FC9">
      <w:pPr>
        <w:numPr>
          <w:ilvl w:val="0"/>
          <w:numId w:val="1"/>
        </w:numPr>
        <w:ind w:right="0" w:hanging="360"/>
      </w:pPr>
      <w:r>
        <w:t xml:space="preserve">Nachnani R, </w:t>
      </w:r>
      <w:r w:rsidR="002E586C">
        <w:t xml:space="preserve">Knehans A, Neighbors J, Kocis PT, Lee T, Tegler K, Trite T, </w:t>
      </w:r>
      <w:r>
        <w:t xml:space="preserve"> </w:t>
      </w:r>
      <w:r w:rsidRPr="00F068D1">
        <w:rPr>
          <w:b/>
        </w:rPr>
        <w:t>Raup-Konsavage WM</w:t>
      </w:r>
      <w:r>
        <w:t xml:space="preserve">, and Vrana KE.  </w:t>
      </w:r>
      <w:r w:rsidR="002E586C">
        <w:t xml:space="preserve">Systematic review of drug-drug interactions of delta-9 tetrahydrocannabinol, </w:t>
      </w:r>
      <w:r w:rsidR="002E586C">
        <w:lastRenderedPageBreak/>
        <w:t xml:space="preserve">cannabidiol, and </w:t>
      </w:r>
      <w:r w:rsidR="002E586C" w:rsidRPr="002E586C">
        <w:rPr>
          <w:i/>
        </w:rPr>
        <w:t>Cannabis</w:t>
      </w:r>
      <w:r>
        <w:t xml:space="preserve">.  </w:t>
      </w:r>
      <w:r w:rsidR="002E586C">
        <w:t xml:space="preserve">Under review at </w:t>
      </w:r>
      <w:r w:rsidR="002E586C">
        <w:rPr>
          <w:i/>
        </w:rPr>
        <w:t>Frontiers in Pharmacology</w:t>
      </w:r>
      <w:r>
        <w:t>.</w:t>
      </w:r>
      <w:r w:rsidR="00AF1275">
        <w:br/>
      </w:r>
    </w:p>
    <w:p w14:paraId="63076A6B" w14:textId="2E8A793E" w:rsidR="009D195F" w:rsidRDefault="002E586C" w:rsidP="00A208A3">
      <w:pPr>
        <w:numPr>
          <w:ilvl w:val="0"/>
          <w:numId w:val="1"/>
        </w:numPr>
        <w:ind w:right="0" w:hanging="360"/>
      </w:pPr>
      <w:r w:rsidRPr="002E586C">
        <w:rPr>
          <w:b/>
        </w:rPr>
        <w:t>Raup-Konsavage WM</w:t>
      </w:r>
      <w:r>
        <w:rPr>
          <w:b/>
        </w:rPr>
        <w:t>*</w:t>
      </w:r>
      <w:r>
        <w:t xml:space="preserve">, Sepulveda DE, Wang J, Dokholyan NV, Vrana KE, and Graziane NM.  Antinociceptive effects of cannabichromene (CBC) in mice: insights from von Frey, tail flick, formalin and acetone test.  </w:t>
      </w:r>
      <w:r w:rsidR="00F7060C" w:rsidRPr="009D195F">
        <w:rPr>
          <w:i/>
        </w:rPr>
        <w:t>Biomedicines</w:t>
      </w:r>
      <w:r w:rsidR="00F7060C">
        <w:t xml:space="preserve"> 2024; 12(1):83.</w:t>
      </w:r>
      <w:r w:rsidR="009D195F">
        <w:br/>
      </w:r>
    </w:p>
    <w:p w14:paraId="3FC3C40A" w14:textId="1CB91ADC" w:rsidR="002F1FC9" w:rsidRDefault="009D195F" w:rsidP="00A208A3">
      <w:pPr>
        <w:numPr>
          <w:ilvl w:val="0"/>
          <w:numId w:val="1"/>
        </w:numPr>
        <w:ind w:right="0" w:hanging="360"/>
      </w:pPr>
      <w:r>
        <w:t xml:space="preserve">Glickman D, Dalessio S, </w:t>
      </w:r>
      <w:r w:rsidRPr="00F068D1">
        <w:rPr>
          <w:b/>
        </w:rPr>
        <w:t>Raup-Konsavage WM</w:t>
      </w:r>
      <w:r>
        <w:t xml:space="preserve">, Vrana KE, and Coates MD.  Reply: “cannabis use: a marker of clinical severity in inflammatory bowel disease?”.  </w:t>
      </w:r>
      <w:r w:rsidRPr="009D195F">
        <w:rPr>
          <w:i/>
        </w:rPr>
        <w:t>Inflammatory Bowel Disease</w:t>
      </w:r>
      <w:r>
        <w:t xml:space="preserve"> 2023; 29(11):e42. </w:t>
      </w:r>
      <w:r>
        <w:br/>
      </w:r>
    </w:p>
    <w:p w14:paraId="5056CF71" w14:textId="6B4257C4" w:rsidR="00BF1F8A" w:rsidRDefault="00BF1F8A" w:rsidP="00A208A3">
      <w:pPr>
        <w:numPr>
          <w:ilvl w:val="0"/>
          <w:numId w:val="1"/>
        </w:numPr>
        <w:ind w:right="0" w:hanging="360"/>
      </w:pPr>
      <w:r>
        <w:t xml:space="preserve">Nachnani R, Sepulveda DE, Booth JL, Zhou S, Graziane NM, </w:t>
      </w:r>
      <w:r w:rsidRPr="00F068D1">
        <w:rPr>
          <w:b/>
        </w:rPr>
        <w:t>Raup-Konsavage WM</w:t>
      </w:r>
      <w:r w:rsidR="002F1FC9">
        <w:rPr>
          <w:b/>
        </w:rPr>
        <w:t>*</w:t>
      </w:r>
      <w:r>
        <w:t xml:space="preserve">, and Vrana KE.  Chronic cannabigerol as an effective therapeutic for cisplatin-induced neuropathic pain.  </w:t>
      </w:r>
      <w:r w:rsidRPr="00BF1F8A">
        <w:rPr>
          <w:i/>
        </w:rPr>
        <w:t>Pharmaceuticals</w:t>
      </w:r>
      <w:r>
        <w:t xml:space="preserve"> (Basel) 2023</w:t>
      </w:r>
      <w:r w:rsidR="00F7060C">
        <w:t>;</w:t>
      </w:r>
      <w:r>
        <w:t xml:space="preserve"> 16(10):1442.</w:t>
      </w:r>
      <w:r w:rsidR="00F7060C">
        <w:br/>
      </w:r>
    </w:p>
    <w:p w14:paraId="65C9F665" w14:textId="7CEF00E8" w:rsidR="00F068D1" w:rsidRDefault="00F068D1" w:rsidP="00A208A3">
      <w:pPr>
        <w:numPr>
          <w:ilvl w:val="0"/>
          <w:numId w:val="1"/>
        </w:numPr>
        <w:ind w:right="0" w:hanging="360"/>
      </w:pPr>
      <w:r>
        <w:t xml:space="preserve">Glickman D, Dalessio S, </w:t>
      </w:r>
      <w:r w:rsidRPr="00F068D1">
        <w:rPr>
          <w:b/>
        </w:rPr>
        <w:t>Raup-Konsavage WM</w:t>
      </w:r>
      <w:r>
        <w:t>, Vrana KE, and Coates MD.  The impact of cannabis use on clinical outcomes in inflammatory bowel disease: a population-based longitudinal cohort study.  Inflammatory Bowel Disease 2023; published on line in adva</w:t>
      </w:r>
      <w:r w:rsidR="00BF1F8A">
        <w:t>n</w:t>
      </w:r>
      <w:r>
        <w:t>ce August 2023.</w:t>
      </w:r>
      <w:r>
        <w:br/>
      </w:r>
    </w:p>
    <w:p w14:paraId="0FFE6FD0" w14:textId="14172163" w:rsidR="00D2244D" w:rsidRPr="00D2244D" w:rsidRDefault="00D2244D" w:rsidP="00A208A3">
      <w:pPr>
        <w:numPr>
          <w:ilvl w:val="0"/>
          <w:numId w:val="1"/>
        </w:numPr>
        <w:ind w:right="0" w:hanging="360"/>
      </w:pPr>
      <w:r>
        <w:t xml:space="preserve">Khajuria DK, Karuppagounder V, Nowak I, Sepulveda DE, Lewis GS, Norbury CC.  </w:t>
      </w:r>
      <w:r w:rsidRPr="007C2433">
        <w:rPr>
          <w:b/>
        </w:rPr>
        <w:t>Raup-Konsavage WM</w:t>
      </w:r>
      <w:r>
        <w:t>, Vrana KE, Kamal F, and El Barbary RA. Cannabidiol and cannabige</w:t>
      </w:r>
      <w:r w:rsidR="00F068D1">
        <w:t>r</w:t>
      </w:r>
      <w:r>
        <w:t>ol, non-psychotropic cannabinoids, as anal</w:t>
      </w:r>
      <w:r w:rsidR="00874EFB">
        <w:t xml:space="preserve">gesics that effectively manage bone fracture pain and promote healing.  </w:t>
      </w:r>
      <w:r w:rsidR="00874EFB" w:rsidRPr="00874EFB">
        <w:rPr>
          <w:i/>
        </w:rPr>
        <w:t>Journal of Bone and Mineral Research</w:t>
      </w:r>
      <w:r>
        <w:t xml:space="preserve"> 2023;</w:t>
      </w:r>
      <w:r w:rsidR="009D195F">
        <w:t xml:space="preserve"> 38(11):1560.</w:t>
      </w:r>
      <w:r>
        <w:br/>
      </w:r>
    </w:p>
    <w:p w14:paraId="2F14405A" w14:textId="1F9A0773" w:rsidR="00A208A3" w:rsidRDefault="00A208A3" w:rsidP="00A208A3">
      <w:pPr>
        <w:numPr>
          <w:ilvl w:val="0"/>
          <w:numId w:val="1"/>
        </w:numPr>
        <w:ind w:right="0" w:hanging="360"/>
      </w:pPr>
      <w:r w:rsidRPr="007C2433">
        <w:rPr>
          <w:b/>
        </w:rPr>
        <w:t>Raup-Konsavage WM</w:t>
      </w:r>
      <w:r w:rsidR="002F1FC9">
        <w:rPr>
          <w:b/>
        </w:rPr>
        <w:t>*</w:t>
      </w:r>
      <w:r>
        <w:t xml:space="preserve">. Special issue: therapeutic potential for cannabis and cannabinoids. </w:t>
      </w:r>
      <w:r w:rsidRPr="00874EFB">
        <w:rPr>
          <w:i/>
        </w:rPr>
        <w:t>Biomedicines</w:t>
      </w:r>
      <w:r>
        <w:t xml:space="preserve"> 2023; 11(3):902.</w:t>
      </w:r>
    </w:p>
    <w:p w14:paraId="36F5829B" w14:textId="77777777" w:rsidR="00A208A3" w:rsidRDefault="00A208A3" w:rsidP="00A208A3">
      <w:pPr>
        <w:ind w:left="453" w:right="0" w:firstLine="0"/>
      </w:pPr>
    </w:p>
    <w:p w14:paraId="03A039D9" w14:textId="77777777" w:rsidR="00A208A3" w:rsidRDefault="00A208A3">
      <w:pPr>
        <w:numPr>
          <w:ilvl w:val="0"/>
          <w:numId w:val="1"/>
        </w:numPr>
        <w:ind w:right="0" w:hanging="360"/>
      </w:pPr>
      <w:r>
        <w:t xml:space="preserve">Carkaci-Salli N, </w:t>
      </w:r>
      <w:r w:rsidRPr="007C2433">
        <w:rPr>
          <w:b/>
        </w:rPr>
        <w:t>Raup-Konsavage WM</w:t>
      </w:r>
      <w:r>
        <w:t xml:space="preserve">, and Vrana KE. Cannabinoids as potential cancer therapeutics: the concentration conundrum.  </w:t>
      </w:r>
      <w:r w:rsidRPr="00874EFB">
        <w:rPr>
          <w:i/>
        </w:rPr>
        <w:t>Cannabis and Cannabinoid Research</w:t>
      </w:r>
      <w:r>
        <w:t xml:space="preserve"> 2023; published online in advance 21 Mar 2023.</w:t>
      </w:r>
      <w:r>
        <w:br/>
      </w:r>
    </w:p>
    <w:p w14:paraId="34D7DC86" w14:textId="77777777" w:rsidR="00D475DB" w:rsidRDefault="00D475DB">
      <w:pPr>
        <w:numPr>
          <w:ilvl w:val="0"/>
          <w:numId w:val="1"/>
        </w:numPr>
        <w:ind w:right="0" w:hanging="360"/>
      </w:pPr>
      <w:r>
        <w:t xml:space="preserve">Karelia D, Corey Z, Wang H, </w:t>
      </w:r>
      <w:r w:rsidRPr="007C2433">
        <w:rPr>
          <w:b/>
        </w:rPr>
        <w:t>Raup-Konsavage WM</w:t>
      </w:r>
      <w:r>
        <w:t xml:space="preserve">, Vrana KE, Lu J, and Cheng J. Library screening and preliminary characterization of synthetic cannabinoids against prostate and pancreatic cancer cell lines.  </w:t>
      </w:r>
      <w:r w:rsidRPr="00874EFB">
        <w:rPr>
          <w:i/>
        </w:rPr>
        <w:t>Cannabis and Cannabinoid Research</w:t>
      </w:r>
      <w:r>
        <w:t xml:space="preserve"> 2023; published online in advance 7 Mar 2023. </w:t>
      </w:r>
      <w:r>
        <w:br/>
      </w:r>
    </w:p>
    <w:p w14:paraId="5833DE57" w14:textId="77777777" w:rsidR="00F6009D" w:rsidRDefault="00230426">
      <w:pPr>
        <w:numPr>
          <w:ilvl w:val="0"/>
          <w:numId w:val="1"/>
        </w:numPr>
        <w:ind w:right="0" w:hanging="360"/>
      </w:pPr>
      <w:r>
        <w:t xml:space="preserve">Chacon FT, </w:t>
      </w:r>
      <w:r w:rsidRPr="007C2433">
        <w:rPr>
          <w:b/>
        </w:rPr>
        <w:t>Raup-Konsavage WM</w:t>
      </w:r>
      <w:r>
        <w:t xml:space="preserve">, Vrana KE, and Kellogg JJ.  Secondary terpenes in </w:t>
      </w:r>
      <w:r w:rsidRPr="00230426">
        <w:rPr>
          <w:i/>
        </w:rPr>
        <w:t>Cannabis sativa</w:t>
      </w:r>
      <w:r>
        <w:t xml:space="preserve"> L.: synthesis and synergy.  </w:t>
      </w:r>
      <w:r w:rsidRPr="00874EFB">
        <w:rPr>
          <w:i/>
        </w:rPr>
        <w:t>Biomedicines</w:t>
      </w:r>
      <w:r>
        <w:t xml:space="preserve"> 2022; 10(12):3142. </w:t>
      </w:r>
      <w:r w:rsidR="009F7F7D">
        <w:br/>
      </w:r>
      <w:r>
        <w:t xml:space="preserve"> </w:t>
      </w:r>
    </w:p>
    <w:p w14:paraId="58E58B64" w14:textId="77777777" w:rsidR="002868F7" w:rsidRDefault="00F6009D">
      <w:pPr>
        <w:numPr>
          <w:ilvl w:val="0"/>
          <w:numId w:val="1"/>
        </w:numPr>
        <w:ind w:right="0" w:hanging="360"/>
      </w:pPr>
      <w:r>
        <w:t xml:space="preserve">Nachnani R, </w:t>
      </w:r>
      <w:r w:rsidRPr="009F7F7D">
        <w:rPr>
          <w:b/>
        </w:rPr>
        <w:t>Raup-Konsavage WM</w:t>
      </w:r>
      <w:r>
        <w:t xml:space="preserve">, and Vrana KE.  The rise and risk of delta-8-thc (delta-8-tetrahydrocannabinol).  </w:t>
      </w:r>
      <w:r w:rsidRPr="00874EFB">
        <w:rPr>
          <w:i/>
        </w:rPr>
        <w:t>Current Addiction Reports</w:t>
      </w:r>
      <w:r w:rsidR="009F7F7D">
        <w:t xml:space="preserve"> 2022; 9:622-629.</w:t>
      </w:r>
      <w:r w:rsidR="003E5705">
        <w:br/>
      </w:r>
    </w:p>
    <w:p w14:paraId="792168B8" w14:textId="77777777" w:rsidR="003E5705" w:rsidRDefault="00230426">
      <w:pPr>
        <w:numPr>
          <w:ilvl w:val="0"/>
          <w:numId w:val="1"/>
        </w:numPr>
        <w:ind w:right="0" w:hanging="360"/>
      </w:pPr>
      <w:r w:rsidRPr="007C2433">
        <w:rPr>
          <w:b/>
        </w:rPr>
        <w:t>Raup-Konsavage WM</w:t>
      </w:r>
      <w:r>
        <w:t xml:space="preserve">, Sepulveda DE, Morris DP, Amin S, Vrana KE, Graziane NM, and Desai D.  Efficient synthesis for altering side chain length on cannabinoid molecules and their effects in chemotherapy and chemotherapeutic induced neuropathic pain.  </w:t>
      </w:r>
      <w:r w:rsidRPr="00874EFB">
        <w:rPr>
          <w:i/>
        </w:rPr>
        <w:t>Biomolecules</w:t>
      </w:r>
      <w:r>
        <w:t xml:space="preserve"> 2022; 12(12):1869.</w:t>
      </w:r>
      <w:r w:rsidR="007C2433">
        <w:br/>
      </w:r>
    </w:p>
    <w:p w14:paraId="11BB628B" w14:textId="77777777" w:rsidR="00AC22B1" w:rsidRDefault="00230426">
      <w:pPr>
        <w:numPr>
          <w:ilvl w:val="0"/>
          <w:numId w:val="1"/>
        </w:numPr>
        <w:ind w:right="0" w:hanging="360"/>
      </w:pPr>
      <w:r>
        <w:t xml:space="preserve">Lookfong NA, </w:t>
      </w:r>
      <w:r w:rsidRPr="007C2433">
        <w:rPr>
          <w:b/>
        </w:rPr>
        <w:t>Raup-Konsavage WM</w:t>
      </w:r>
      <w:r>
        <w:t xml:space="preserve">, and Silverman Y.  Potential utility of cannabidiol in stress-related disorders.  </w:t>
      </w:r>
      <w:r w:rsidRPr="00874EFB">
        <w:rPr>
          <w:i/>
        </w:rPr>
        <w:t>Cannabis and Cannabinoid Research</w:t>
      </w:r>
      <w:r>
        <w:t xml:space="preserve"> 2022.</w:t>
      </w:r>
      <w:r w:rsidR="00AC22B1">
        <w:br/>
      </w:r>
    </w:p>
    <w:p w14:paraId="5CC0202C" w14:textId="77777777" w:rsidR="003E5705" w:rsidRDefault="00AC22B1">
      <w:pPr>
        <w:numPr>
          <w:ilvl w:val="0"/>
          <w:numId w:val="1"/>
        </w:numPr>
        <w:ind w:right="0" w:hanging="360"/>
      </w:pPr>
      <w:r>
        <w:t xml:space="preserve">Chirasani VR, Wang J, Sha C, </w:t>
      </w:r>
      <w:r w:rsidRPr="00AC22B1">
        <w:rPr>
          <w:b/>
        </w:rPr>
        <w:t>Raup-Konsavage WM</w:t>
      </w:r>
      <w:r>
        <w:t xml:space="preserve">, Vrana KE, and Dokholyan NV.  Whole proteome mapping of compound-protein interactions.  </w:t>
      </w:r>
      <w:r w:rsidRPr="00874EFB">
        <w:rPr>
          <w:i/>
        </w:rPr>
        <w:t>Current Research in Chemical Biology</w:t>
      </w:r>
      <w:r>
        <w:t xml:space="preserve"> 2022; </w:t>
      </w:r>
      <w:r>
        <w:lastRenderedPageBreak/>
        <w:t>2:100035.</w:t>
      </w:r>
      <w:r w:rsidR="007C2433">
        <w:br/>
      </w:r>
    </w:p>
    <w:p w14:paraId="519F223B" w14:textId="20C8960B" w:rsidR="003E5705" w:rsidRDefault="00230426">
      <w:pPr>
        <w:numPr>
          <w:ilvl w:val="0"/>
          <w:numId w:val="1"/>
        </w:numPr>
        <w:ind w:right="0" w:hanging="360"/>
      </w:pPr>
      <w:r>
        <w:t xml:space="preserve">Sepulveda DE, Vrana KE, Graziane NM, and </w:t>
      </w:r>
      <w:r w:rsidRPr="007C2433">
        <w:rPr>
          <w:b/>
        </w:rPr>
        <w:t>Raup-Konsavage WM</w:t>
      </w:r>
      <w:r w:rsidR="002F1FC9">
        <w:rPr>
          <w:b/>
        </w:rPr>
        <w:t>*</w:t>
      </w:r>
      <w:r>
        <w:t xml:space="preserve">.  Combinations of cannabidiol and Δ9-tetrahydrocannabinol in reducing chemotherapeutic induced neuropathic pain.  </w:t>
      </w:r>
      <w:r w:rsidRPr="00874EFB">
        <w:rPr>
          <w:i/>
        </w:rPr>
        <w:t>Biomedicines</w:t>
      </w:r>
      <w:r>
        <w:t xml:space="preserve"> 2022; 10(10):2548.</w:t>
      </w:r>
      <w:r w:rsidR="007C2433">
        <w:br/>
      </w:r>
    </w:p>
    <w:p w14:paraId="60F12100" w14:textId="77777777" w:rsidR="003E5705" w:rsidRDefault="003E5705">
      <w:pPr>
        <w:numPr>
          <w:ilvl w:val="0"/>
          <w:numId w:val="1"/>
        </w:numPr>
        <w:ind w:right="0" w:hanging="360"/>
      </w:pPr>
      <w:r>
        <w:t xml:space="preserve">Karuppagounder V, Chung J, Abdeen A, Thompson A, Bouboukas A, Pinamont WJ, Yoshioka NK, Sepulveda DE, </w:t>
      </w:r>
      <w:r w:rsidRPr="007C2433">
        <w:rPr>
          <w:b/>
        </w:rPr>
        <w:t>Raup-Konsavage WM</w:t>
      </w:r>
      <w:r>
        <w:t xml:space="preserve">, Graziane NM, Vrana KE, Elbarbary RA, and Kamal F.  Distinctive therapeutic effects of non-euphorigentic cannabis extracts in osteoarthritis. </w:t>
      </w:r>
      <w:r w:rsidRPr="00874EFB">
        <w:rPr>
          <w:i/>
        </w:rPr>
        <w:t>Cannabis and Cannabinoid Research</w:t>
      </w:r>
      <w:r>
        <w:t xml:space="preserve"> 2022.</w:t>
      </w:r>
      <w:r w:rsidR="007C2433">
        <w:br/>
      </w:r>
    </w:p>
    <w:p w14:paraId="1D8BE899" w14:textId="77777777" w:rsidR="003E5705" w:rsidRDefault="003E5705">
      <w:pPr>
        <w:numPr>
          <w:ilvl w:val="0"/>
          <w:numId w:val="1"/>
        </w:numPr>
        <w:ind w:right="0" w:hanging="360"/>
      </w:pPr>
      <w:r>
        <w:t xml:space="preserve">Sepulveda DE, Morris DP, </w:t>
      </w:r>
      <w:r w:rsidRPr="007C2433">
        <w:rPr>
          <w:b/>
        </w:rPr>
        <w:t>Raup-Konsavage WM</w:t>
      </w:r>
      <w:r>
        <w:t xml:space="preserve">, Sun D, Vrana KE, and Graziane NM.  Cannabigerol (CBG) attenuates mechanical hypersensitivity elicited by chemotherapy-induced peripheral neuropathy.  </w:t>
      </w:r>
      <w:r w:rsidRPr="00874EFB">
        <w:rPr>
          <w:i/>
        </w:rPr>
        <w:t>European Journal of Pain</w:t>
      </w:r>
      <w:r>
        <w:t xml:space="preserve"> 2022; 26(9):1950-1966.</w:t>
      </w:r>
      <w:r w:rsidR="007C2433">
        <w:br/>
      </w:r>
    </w:p>
    <w:p w14:paraId="1B670921" w14:textId="77777777" w:rsidR="003E5705" w:rsidRDefault="003E5705">
      <w:pPr>
        <w:numPr>
          <w:ilvl w:val="0"/>
          <w:numId w:val="1"/>
        </w:numPr>
        <w:ind w:right="0" w:hanging="360"/>
      </w:pPr>
      <w:r>
        <w:t xml:space="preserve">Vernail VL, Bingaman SS, Silberman Y, </w:t>
      </w:r>
      <w:r w:rsidRPr="007C2433">
        <w:rPr>
          <w:b/>
        </w:rPr>
        <w:t>Raup-Konsavage WM</w:t>
      </w:r>
      <w:r>
        <w:t xml:space="preserve">, Vrana KE, and Arnold AC.  Acute cannabigerol administration lowers blood pressure in mice.  </w:t>
      </w:r>
      <w:r w:rsidRPr="00874EFB">
        <w:rPr>
          <w:i/>
        </w:rPr>
        <w:t>Frontiers in Physiology</w:t>
      </w:r>
      <w:r>
        <w:t xml:space="preserve"> 2022; 13:871962.</w:t>
      </w:r>
      <w:r w:rsidR="007C2433">
        <w:br/>
      </w:r>
    </w:p>
    <w:p w14:paraId="5AD5FEC5" w14:textId="77777777" w:rsidR="003E5705" w:rsidRDefault="003E5705">
      <w:pPr>
        <w:numPr>
          <w:ilvl w:val="0"/>
          <w:numId w:val="1"/>
        </w:numPr>
        <w:ind w:right="0" w:hanging="360"/>
      </w:pPr>
      <w:r>
        <w:t xml:space="preserve">Bogale K, </w:t>
      </w:r>
      <w:r w:rsidRPr="007C2433">
        <w:rPr>
          <w:b/>
        </w:rPr>
        <w:t>Raup-Konsavage W</w:t>
      </w:r>
      <w:r>
        <w:t xml:space="preserve">, Dalessio S, Vrana K, and Coates MD.  Cannabis and cannabis derivatives for abdominal pain management in inflammatory bowel disease.  </w:t>
      </w:r>
      <w:r w:rsidRPr="00874EFB">
        <w:rPr>
          <w:i/>
        </w:rPr>
        <w:t>Medical Cannabis and Cannabinoids</w:t>
      </w:r>
      <w:r>
        <w:t xml:space="preserve"> 2021; 4(2):97-106</w:t>
      </w:r>
      <w:r w:rsidR="007C2433">
        <w:br/>
      </w:r>
    </w:p>
    <w:p w14:paraId="5E9BA5DA" w14:textId="4A30F01F" w:rsidR="003E5705" w:rsidRDefault="003E5705">
      <w:pPr>
        <w:numPr>
          <w:ilvl w:val="0"/>
          <w:numId w:val="1"/>
        </w:numPr>
        <w:ind w:right="0" w:hanging="360"/>
      </w:pPr>
      <w:r>
        <w:t xml:space="preserve">Legare CA, </w:t>
      </w:r>
      <w:r w:rsidRPr="007C2433">
        <w:rPr>
          <w:b/>
        </w:rPr>
        <w:t>Raup-Konsavage WM</w:t>
      </w:r>
      <w:r w:rsidR="002F1FC9">
        <w:rPr>
          <w:b/>
        </w:rPr>
        <w:t>*</w:t>
      </w:r>
      <w:r>
        <w:t xml:space="preserve">, and Vrana KE.  Therapeutic potential of cannabis, cannabidiol, and cannabinoid-based pharmaceuticals.  </w:t>
      </w:r>
      <w:r w:rsidRPr="00874EFB">
        <w:rPr>
          <w:i/>
        </w:rPr>
        <w:t>Pharmacology</w:t>
      </w:r>
      <w:r>
        <w:t xml:space="preserve"> 2022; 107(3-4):131-149.</w:t>
      </w:r>
      <w:r w:rsidR="007C2433">
        <w:br/>
      </w:r>
    </w:p>
    <w:p w14:paraId="143697AE" w14:textId="77777777" w:rsidR="002868F7" w:rsidRDefault="002868F7">
      <w:pPr>
        <w:numPr>
          <w:ilvl w:val="0"/>
          <w:numId w:val="1"/>
        </w:numPr>
        <w:ind w:right="0" w:hanging="360"/>
      </w:pPr>
      <w:r>
        <w:t xml:space="preserve">Hengst JA, Nduwumwami AJ, </w:t>
      </w:r>
      <w:r w:rsidRPr="003E5705">
        <w:rPr>
          <w:b/>
        </w:rPr>
        <w:t>Raup-Konsavage WM</w:t>
      </w:r>
      <w:r>
        <w:t>, Vrana KE, and Yun JK.  Inhibition of sphingosine kinase activity enhances immunogenic cell surface</w:t>
      </w:r>
      <w:r w:rsidR="003E5705">
        <w:t xml:space="preserve"> exposure of calreticulin induced by the synthetic cannabinoid 5-epi-CP-55,940.  </w:t>
      </w:r>
      <w:r w:rsidR="003E5705" w:rsidRPr="00874EFB">
        <w:rPr>
          <w:i/>
        </w:rPr>
        <w:t>Cannabis and Cannabinoid Research</w:t>
      </w:r>
      <w:r w:rsidR="003E5705">
        <w:t xml:space="preserve"> 2022; 7(5)637-647.</w:t>
      </w:r>
      <w:r w:rsidR="007C2433">
        <w:br/>
      </w:r>
    </w:p>
    <w:p w14:paraId="0D65AEE1" w14:textId="77777777" w:rsidR="007D1A5F" w:rsidRDefault="002868F7">
      <w:pPr>
        <w:numPr>
          <w:ilvl w:val="0"/>
          <w:numId w:val="1"/>
        </w:numPr>
        <w:ind w:right="0" w:hanging="360"/>
      </w:pPr>
      <w:r>
        <w:t xml:space="preserve">Sepulveda DE, Morris DP, </w:t>
      </w:r>
      <w:r w:rsidRPr="003E5705">
        <w:rPr>
          <w:b/>
        </w:rPr>
        <w:t>Raup-Konsavage WM</w:t>
      </w:r>
      <w:r>
        <w:t xml:space="preserve">, Sun D, Vrana KE, and Graziane NM.  Evaluating the antinociceptive efficacy of cannabidiol alone or in combination with morphine using the formalin test in male and female mice.  </w:t>
      </w:r>
      <w:r w:rsidRPr="00874EFB">
        <w:rPr>
          <w:i/>
        </w:rPr>
        <w:t>Cannabis and Cannabinoid Research</w:t>
      </w:r>
      <w:r>
        <w:t xml:space="preserve"> 2022; 7(5)648-657.</w:t>
      </w:r>
      <w:r w:rsidR="007D1A5F">
        <w:br/>
      </w:r>
    </w:p>
    <w:p w14:paraId="10F297DA" w14:textId="77777777" w:rsidR="002868F7" w:rsidRDefault="007D1A5F">
      <w:pPr>
        <w:numPr>
          <w:ilvl w:val="0"/>
          <w:numId w:val="1"/>
        </w:numPr>
        <w:ind w:right="0" w:hanging="360"/>
      </w:pPr>
      <w:r>
        <w:t xml:space="preserve">Bogale K, Vrana K, </w:t>
      </w:r>
      <w:r w:rsidRPr="007D1A5F">
        <w:rPr>
          <w:b/>
        </w:rPr>
        <w:t>Raup-Konsavage W</w:t>
      </w:r>
      <w:r>
        <w:t xml:space="preserve">, Walter V, Stuart A, Dalessio S, Koltun W, Bernasko, N, Tinsley A, Williams E, Clarke K, and Coates MD.  Polysubstance use in inflammatory bowel disease.  </w:t>
      </w:r>
      <w:r w:rsidRPr="00874EFB">
        <w:rPr>
          <w:i/>
        </w:rPr>
        <w:t>Journal of Digestive Diseases</w:t>
      </w:r>
      <w:r>
        <w:t xml:space="preserve"> 2021; 22(12):706-713.</w:t>
      </w:r>
      <w:r w:rsidR="002868F7">
        <w:br/>
      </w:r>
    </w:p>
    <w:p w14:paraId="45B83CD1" w14:textId="77777777" w:rsidR="002868F7" w:rsidRDefault="002868F7">
      <w:pPr>
        <w:numPr>
          <w:ilvl w:val="0"/>
          <w:numId w:val="1"/>
        </w:numPr>
        <w:ind w:right="0" w:hanging="360"/>
      </w:pPr>
      <w:r>
        <w:t xml:space="preserve">Babalonis S, </w:t>
      </w:r>
      <w:r w:rsidRPr="002868F7">
        <w:rPr>
          <w:b/>
        </w:rPr>
        <w:t>Raup-Konsavage WM</w:t>
      </w:r>
      <w:r>
        <w:t xml:space="preserve">, Akpunonu PD, Balla A, and Vrana KE.  Δ8-THC: legal status, widespread availability, and safety concerns.  </w:t>
      </w:r>
      <w:r w:rsidRPr="00874EFB">
        <w:rPr>
          <w:i/>
        </w:rPr>
        <w:t>Cannabis and Cannabin</w:t>
      </w:r>
      <w:r w:rsidR="00874EFB">
        <w:rPr>
          <w:i/>
        </w:rPr>
        <w:t>oi</w:t>
      </w:r>
      <w:r w:rsidRPr="00874EFB">
        <w:rPr>
          <w:i/>
        </w:rPr>
        <w:t>d Research</w:t>
      </w:r>
      <w:r>
        <w:t xml:space="preserve"> 2021; 6(5):362-365.</w:t>
      </w:r>
      <w:r>
        <w:br/>
      </w:r>
    </w:p>
    <w:p w14:paraId="480207B9" w14:textId="77777777" w:rsidR="002868F7" w:rsidRDefault="002868F7" w:rsidP="002868F7">
      <w:pPr>
        <w:numPr>
          <w:ilvl w:val="0"/>
          <w:numId w:val="1"/>
        </w:numPr>
        <w:ind w:right="0" w:hanging="360"/>
      </w:pPr>
      <w:r>
        <w:t>Nachnani R</w:t>
      </w:r>
      <w:r>
        <w:rPr>
          <w:b/>
        </w:rPr>
        <w:t>, Raup-Konsavage WM</w:t>
      </w:r>
      <w:r>
        <w:t xml:space="preserve">, and Vrana KE.  The pharmacological case for cannabigerol (CBG).  </w:t>
      </w:r>
      <w:r w:rsidRPr="00874EFB">
        <w:rPr>
          <w:i/>
        </w:rPr>
        <w:t>The Journal of Pharmacology and Experimental Therapeutics</w:t>
      </w:r>
      <w:r>
        <w:t xml:space="preserve"> (JPET) 2021; 376(2):204-212.</w:t>
      </w:r>
    </w:p>
    <w:p w14:paraId="10EF3055" w14:textId="77777777" w:rsidR="002868F7" w:rsidRDefault="002868F7" w:rsidP="002868F7">
      <w:pPr>
        <w:ind w:left="453" w:right="0" w:firstLine="0"/>
      </w:pPr>
    </w:p>
    <w:p w14:paraId="431DE47A" w14:textId="77777777" w:rsidR="002868F7" w:rsidRDefault="002868F7">
      <w:pPr>
        <w:numPr>
          <w:ilvl w:val="0"/>
          <w:numId w:val="1"/>
        </w:numPr>
        <w:ind w:right="0" w:hanging="360"/>
      </w:pPr>
      <w:r>
        <w:t>Landmess</w:t>
      </w:r>
      <w:r w:rsidR="007D1A5F">
        <w:t>er</w:t>
      </w:r>
      <w:r>
        <w:t xml:space="preserve"> ME, </w:t>
      </w:r>
      <w:r w:rsidRPr="002868F7">
        <w:rPr>
          <w:b/>
        </w:rPr>
        <w:t>Raup-Konsavage WM</w:t>
      </w:r>
      <w:r>
        <w:t xml:space="preserve">, Lehman HL, and Stairs DB.  Loss of p120ctn causes EGFR-targeted therapy resistance and failure.  </w:t>
      </w:r>
      <w:r w:rsidRPr="00874EFB">
        <w:rPr>
          <w:i/>
        </w:rPr>
        <w:t>PLoS One</w:t>
      </w:r>
      <w:r>
        <w:t xml:space="preserve"> 2020:15(10);e0241299.</w:t>
      </w:r>
    </w:p>
    <w:p w14:paraId="6CD2ED9D" w14:textId="77777777" w:rsidR="006A1899" w:rsidRDefault="006A1899">
      <w:pPr>
        <w:spacing w:after="0" w:line="259" w:lineRule="auto"/>
        <w:ind w:left="468" w:right="0" w:firstLine="0"/>
      </w:pPr>
    </w:p>
    <w:p w14:paraId="72F2A34F" w14:textId="77777777" w:rsidR="006A1899" w:rsidRDefault="008C6249">
      <w:pPr>
        <w:numPr>
          <w:ilvl w:val="0"/>
          <w:numId w:val="1"/>
        </w:numPr>
        <w:ind w:right="0" w:hanging="360"/>
      </w:pPr>
      <w:r>
        <w:rPr>
          <w:b/>
        </w:rPr>
        <w:lastRenderedPageBreak/>
        <w:t>Raup-Konsavage WM</w:t>
      </w:r>
      <w:r>
        <w:t xml:space="preserve">, Carkaci-Salli N, Greenland K, Gearhart R, and Vrana KE.  Cannabidiol (CBD) oil does not display an entourage effect in reducing cancer cell viability in vitro.  </w:t>
      </w:r>
      <w:r w:rsidRPr="00874EFB">
        <w:rPr>
          <w:i/>
        </w:rPr>
        <w:t>Medical Cannabis and Cannabinoids</w:t>
      </w:r>
      <w:r>
        <w:t xml:space="preserve"> 2020</w:t>
      </w:r>
      <w:r w:rsidR="002868F7">
        <w:t>; 3(2):95-102</w:t>
      </w:r>
      <w:r>
        <w:t xml:space="preserve">. </w:t>
      </w:r>
    </w:p>
    <w:p w14:paraId="616FF087" w14:textId="77777777" w:rsidR="006A1899" w:rsidRDefault="008C6249">
      <w:pPr>
        <w:spacing w:after="0" w:line="259" w:lineRule="auto"/>
        <w:ind w:left="468" w:right="0" w:firstLine="0"/>
      </w:pPr>
      <w:r>
        <w:t xml:space="preserve"> </w:t>
      </w:r>
    </w:p>
    <w:p w14:paraId="1E6B5B5D" w14:textId="77777777" w:rsidR="006A1899" w:rsidRDefault="008C6249">
      <w:pPr>
        <w:numPr>
          <w:ilvl w:val="0"/>
          <w:numId w:val="1"/>
        </w:numPr>
        <w:ind w:right="0" w:hanging="360"/>
      </w:pPr>
      <w:r>
        <w:rPr>
          <w:b/>
        </w:rPr>
        <w:t>Raup-Konsavage WM</w:t>
      </w:r>
      <w:r>
        <w:t xml:space="preserve">, Johnson M, Legare CA, Yochum GS, Morgan DJ, and Vrana KE.  Synthetic cannabinoid activity against colorectal cancer cells.  </w:t>
      </w:r>
      <w:r w:rsidRPr="00874EFB">
        <w:rPr>
          <w:i/>
        </w:rPr>
        <w:t>Cannabis and Cannabinoid Research</w:t>
      </w:r>
      <w:r>
        <w:t xml:space="preserve"> 2018; 3(1):272-281. </w:t>
      </w:r>
    </w:p>
    <w:p w14:paraId="179CBCFA" w14:textId="77777777" w:rsidR="006A1899" w:rsidRDefault="008C6249">
      <w:pPr>
        <w:spacing w:after="0" w:line="259" w:lineRule="auto"/>
        <w:ind w:left="468" w:right="0" w:firstLine="0"/>
      </w:pPr>
      <w:r>
        <w:t xml:space="preserve"> </w:t>
      </w:r>
    </w:p>
    <w:p w14:paraId="730A9384" w14:textId="77777777" w:rsidR="006A1899" w:rsidRDefault="008C6249">
      <w:pPr>
        <w:numPr>
          <w:ilvl w:val="0"/>
          <w:numId w:val="1"/>
        </w:numPr>
        <w:ind w:right="0" w:hanging="360"/>
      </w:pPr>
      <w:r>
        <w:rPr>
          <w:b/>
        </w:rPr>
        <w:t>Raup-Konsavage WM</w:t>
      </w:r>
      <w:r>
        <w:t xml:space="preserve">, Wang Y, Wang WW, Feliers D, Ruan H, and Reeves WB.  Neutrophil peptidyl arginine deiminase-4 has a pivotal role in ischemia/reperfustion-induced acute kidney injury. </w:t>
      </w:r>
      <w:r>
        <w:rPr>
          <w:i/>
        </w:rPr>
        <w:t xml:space="preserve">Kidney International </w:t>
      </w:r>
      <w:r>
        <w:t xml:space="preserve">2018; 93(2):365-74. </w:t>
      </w:r>
    </w:p>
    <w:p w14:paraId="77CA20D7" w14:textId="77777777" w:rsidR="006A1899" w:rsidRDefault="008C6249">
      <w:pPr>
        <w:spacing w:after="0" w:line="259" w:lineRule="auto"/>
        <w:ind w:left="468" w:right="0" w:firstLine="0"/>
      </w:pPr>
      <w:r>
        <w:t xml:space="preserve"> </w:t>
      </w:r>
    </w:p>
    <w:p w14:paraId="205ADBE8" w14:textId="77777777" w:rsidR="006A1899" w:rsidRDefault="008C6249">
      <w:pPr>
        <w:numPr>
          <w:ilvl w:val="0"/>
          <w:numId w:val="1"/>
        </w:numPr>
        <w:ind w:right="0" w:hanging="360"/>
      </w:pPr>
      <w:r>
        <w:t xml:space="preserve">Eshelman MA, Shah M, </w:t>
      </w:r>
      <w:r>
        <w:rPr>
          <w:b/>
        </w:rPr>
        <w:t>Raup-Konsavage WM</w:t>
      </w:r>
      <w:r>
        <w:t xml:space="preserve">, Rennoll SA,and Yochum GS. TCF7L1 recruits CtBP and HDAC1 to repress DICKKOPF4 gene expression in human colorectal cancer cells.  </w:t>
      </w:r>
      <w:r>
        <w:rPr>
          <w:i/>
        </w:rPr>
        <w:t>Biochemical and Biophysical  Research Communications</w:t>
      </w:r>
      <w:r>
        <w:t xml:space="preserve"> 2017; 487(3):716-22. </w:t>
      </w:r>
    </w:p>
    <w:p w14:paraId="58B31A3D" w14:textId="77777777" w:rsidR="006A1899" w:rsidRDefault="008C6249">
      <w:pPr>
        <w:spacing w:after="0" w:line="259" w:lineRule="auto"/>
        <w:ind w:left="468" w:right="0" w:firstLine="0"/>
      </w:pPr>
      <w:r>
        <w:t xml:space="preserve"> </w:t>
      </w:r>
    </w:p>
    <w:p w14:paraId="6A027085" w14:textId="77777777" w:rsidR="006A1899" w:rsidRDefault="008C6249">
      <w:pPr>
        <w:numPr>
          <w:ilvl w:val="0"/>
          <w:numId w:val="1"/>
        </w:numPr>
        <w:ind w:right="0" w:hanging="360"/>
      </w:pPr>
      <w:r>
        <w:t xml:space="preserve">You H, Gao T, </w:t>
      </w:r>
      <w:r>
        <w:rPr>
          <w:b/>
        </w:rPr>
        <w:t>Raup-Konsavage WM</w:t>
      </w:r>
      <w:r>
        <w:t xml:space="preserve">, Cooper TK, Bronson SK, Reeves WB, and Awad A.  Podocyte-specific chemokine (C-C motif) receptor 2 overexpression mediates diabetic renal injury in mice. </w:t>
      </w:r>
      <w:r>
        <w:rPr>
          <w:i/>
        </w:rPr>
        <w:t>Kidney International</w:t>
      </w:r>
      <w:r>
        <w:t xml:space="preserve"> 2017; 91(3):671-82. </w:t>
      </w:r>
    </w:p>
    <w:p w14:paraId="7AA3A0C3" w14:textId="77777777" w:rsidR="006A1899" w:rsidRDefault="008C6249">
      <w:pPr>
        <w:spacing w:after="0" w:line="259" w:lineRule="auto"/>
        <w:ind w:left="468" w:right="0" w:firstLine="0"/>
      </w:pPr>
      <w:r>
        <w:t xml:space="preserve"> </w:t>
      </w:r>
    </w:p>
    <w:p w14:paraId="725B621B" w14:textId="77777777" w:rsidR="006A1899" w:rsidRDefault="008C6249">
      <w:pPr>
        <w:numPr>
          <w:ilvl w:val="0"/>
          <w:numId w:val="1"/>
        </w:numPr>
        <w:ind w:right="0" w:hanging="360"/>
      </w:pPr>
      <w:r>
        <w:rPr>
          <w:b/>
        </w:rPr>
        <w:t>Konsavage WM</w:t>
      </w:r>
      <w:r>
        <w:t xml:space="preserve">, Edwards, B, and Shenberger JS. Maintenance of feeding-induced translation initiation complex assembly in the lungs of hyperoxia-eposed newborn rats. </w:t>
      </w:r>
      <w:r>
        <w:rPr>
          <w:i/>
        </w:rPr>
        <w:t>Pediatric Neonatal Nursing</w:t>
      </w:r>
      <w:r>
        <w:t xml:space="preserve"> 2016 2(3). </w:t>
      </w:r>
    </w:p>
    <w:p w14:paraId="36CF9D05" w14:textId="77777777" w:rsidR="006A1899" w:rsidRDefault="008C6249">
      <w:pPr>
        <w:spacing w:after="0" w:line="259" w:lineRule="auto"/>
        <w:ind w:left="468" w:right="0" w:firstLine="0"/>
      </w:pPr>
      <w:r>
        <w:t xml:space="preserve">   </w:t>
      </w:r>
    </w:p>
    <w:p w14:paraId="55C7A25B" w14:textId="77777777" w:rsidR="006A1899" w:rsidRDefault="008C6249">
      <w:pPr>
        <w:numPr>
          <w:ilvl w:val="0"/>
          <w:numId w:val="1"/>
        </w:numPr>
        <w:ind w:right="0" w:hanging="360"/>
      </w:pPr>
      <w:r>
        <w:t xml:space="preserve">Rennoll SA, </w:t>
      </w:r>
      <w:r>
        <w:rPr>
          <w:b/>
        </w:rPr>
        <w:t>Raup-Konsavage WM</w:t>
      </w:r>
      <w:r>
        <w:t xml:space="preserve">, Kawasawa YI, and Yochum GS. The </w:t>
      </w:r>
      <w:r>
        <w:rPr>
          <w:i/>
        </w:rPr>
        <w:t>MYC</w:t>
      </w:r>
      <w:r>
        <w:t xml:space="preserve"> 3’ Wnt-responsive element drives oncogenic </w:t>
      </w:r>
      <w:r>
        <w:rPr>
          <w:i/>
        </w:rPr>
        <w:t>MYC</w:t>
      </w:r>
      <w:r>
        <w:t xml:space="preserve"> expression in colorectal carcinoma cells.  </w:t>
      </w:r>
      <w:r>
        <w:rPr>
          <w:i/>
        </w:rPr>
        <w:t xml:space="preserve">Cancers </w:t>
      </w:r>
      <w:r>
        <w:t xml:space="preserve">2016; 8(5): E52. </w:t>
      </w:r>
    </w:p>
    <w:p w14:paraId="66AC5938" w14:textId="77777777" w:rsidR="006A1899" w:rsidRDefault="008C6249">
      <w:pPr>
        <w:spacing w:after="0" w:line="259" w:lineRule="auto"/>
        <w:ind w:left="468" w:right="0" w:firstLine="0"/>
      </w:pPr>
      <w:r>
        <w:t xml:space="preserve"> </w:t>
      </w:r>
    </w:p>
    <w:p w14:paraId="7CE7A337" w14:textId="77777777" w:rsidR="006A1899" w:rsidRDefault="008C6249">
      <w:pPr>
        <w:numPr>
          <w:ilvl w:val="0"/>
          <w:numId w:val="1"/>
        </w:numPr>
        <w:ind w:right="0" w:hanging="360"/>
      </w:pPr>
      <w:r>
        <w:rPr>
          <w:b/>
        </w:rPr>
        <w:t>Raup-Konsavage WM</w:t>
      </w:r>
      <w:r>
        <w:t xml:space="preserve">, Cooper TK, and Yochum GS. A role for MYC in lithium-stimulated repair of the colonic epithelium after DSS-induced damage in mice.  </w:t>
      </w:r>
      <w:r>
        <w:rPr>
          <w:i/>
        </w:rPr>
        <w:t>Digestive Diseases and Sciences</w:t>
      </w:r>
      <w:r>
        <w:t xml:space="preserve"> 2016; 61(2):410-22. </w:t>
      </w:r>
    </w:p>
    <w:p w14:paraId="5D6D6812" w14:textId="77777777" w:rsidR="006A1899" w:rsidRDefault="008C6249">
      <w:pPr>
        <w:spacing w:after="0" w:line="259" w:lineRule="auto"/>
        <w:ind w:left="468" w:right="0" w:firstLine="0"/>
      </w:pPr>
      <w:r>
        <w:t xml:space="preserve"> </w:t>
      </w:r>
    </w:p>
    <w:p w14:paraId="493E5461" w14:textId="77777777" w:rsidR="006A1899" w:rsidRDefault="008C6249">
      <w:pPr>
        <w:numPr>
          <w:ilvl w:val="0"/>
          <w:numId w:val="1"/>
        </w:numPr>
        <w:ind w:right="0" w:hanging="360"/>
      </w:pPr>
      <w:r>
        <w:t xml:space="preserve">Shah M, Rennoll SA, </w:t>
      </w:r>
      <w:r>
        <w:rPr>
          <w:b/>
        </w:rPr>
        <w:t>Raup-Konsavage WM</w:t>
      </w:r>
      <w:r>
        <w:t xml:space="preserve">, and Yochum GS. A dynamic exchange of TCF3 and TCF4 transcription factors controls MYC expression in colorectal cancer cells.  </w:t>
      </w:r>
      <w:r>
        <w:rPr>
          <w:i/>
        </w:rPr>
        <w:t>Cell Cycle</w:t>
      </w:r>
      <w:r>
        <w:t xml:space="preserve"> 2015; 14(3):323-32. </w:t>
      </w:r>
    </w:p>
    <w:p w14:paraId="7737DEE8" w14:textId="77777777" w:rsidR="006A1899" w:rsidRDefault="008C6249">
      <w:pPr>
        <w:spacing w:after="8" w:line="259" w:lineRule="auto"/>
        <w:ind w:left="468" w:right="0" w:firstLine="0"/>
      </w:pPr>
      <w:r>
        <w:t xml:space="preserve"> </w:t>
      </w:r>
    </w:p>
    <w:p w14:paraId="356F6A09" w14:textId="77777777" w:rsidR="006A1899" w:rsidRDefault="008C6249">
      <w:pPr>
        <w:numPr>
          <w:ilvl w:val="0"/>
          <w:numId w:val="1"/>
        </w:numPr>
        <w:ind w:right="0" w:hanging="360"/>
      </w:pPr>
      <w:r>
        <w:rPr>
          <w:b/>
        </w:rPr>
        <w:t>Konsavage WM Jr</w:t>
      </w:r>
      <w:r>
        <w:t xml:space="preserve">, and Yochum GS.  The MYC 3’ Wnt responsive element suppresses colonic tumorigenesis. </w:t>
      </w:r>
      <w:r>
        <w:rPr>
          <w:i/>
        </w:rPr>
        <w:t xml:space="preserve">Molecular and Cellular Biology </w:t>
      </w:r>
      <w:r>
        <w:t>2014</w:t>
      </w:r>
      <w:r>
        <w:rPr>
          <w:i/>
        </w:rPr>
        <w:t xml:space="preserve">; </w:t>
      </w:r>
      <w:r>
        <w:t xml:space="preserve">34(9):1659-69. </w:t>
      </w:r>
    </w:p>
    <w:p w14:paraId="0E43A993" w14:textId="77777777" w:rsidR="006A1899" w:rsidRDefault="008C6249">
      <w:pPr>
        <w:spacing w:after="0" w:line="259" w:lineRule="auto"/>
        <w:ind w:left="468" w:right="0" w:firstLine="0"/>
      </w:pPr>
      <w:r>
        <w:t xml:space="preserve"> </w:t>
      </w:r>
    </w:p>
    <w:p w14:paraId="54CD18C2" w14:textId="77777777" w:rsidR="006A1899" w:rsidRDefault="008C6249">
      <w:pPr>
        <w:numPr>
          <w:ilvl w:val="0"/>
          <w:numId w:val="1"/>
        </w:numPr>
        <w:ind w:right="0" w:hanging="360"/>
      </w:pPr>
      <w:r>
        <w:t xml:space="preserve">Rennoll SA, </w:t>
      </w:r>
      <w:r>
        <w:rPr>
          <w:b/>
        </w:rPr>
        <w:t>Konsavage WM Jr</w:t>
      </w:r>
      <w:r>
        <w:t xml:space="preserve">, and Yochum GS. Nuclear AXIN2 represses MYC gene expression.  </w:t>
      </w:r>
      <w:r>
        <w:rPr>
          <w:i/>
        </w:rPr>
        <w:t xml:space="preserve">Biochemical and Biophysical Research Communications 2014; </w:t>
      </w:r>
      <w:r>
        <w:t xml:space="preserve">443(1):217-22. </w:t>
      </w:r>
    </w:p>
    <w:p w14:paraId="5B3BB8B2" w14:textId="77777777" w:rsidR="006A1899" w:rsidRDefault="008C6249">
      <w:pPr>
        <w:spacing w:after="0" w:line="259" w:lineRule="auto"/>
        <w:ind w:left="468" w:right="0" w:firstLine="0"/>
      </w:pPr>
      <w:r>
        <w:t xml:space="preserve"> </w:t>
      </w:r>
    </w:p>
    <w:p w14:paraId="1D2965EC" w14:textId="77777777" w:rsidR="006A1899" w:rsidRDefault="008C6249">
      <w:pPr>
        <w:numPr>
          <w:ilvl w:val="0"/>
          <w:numId w:val="1"/>
        </w:numPr>
        <w:ind w:right="0" w:hanging="360"/>
      </w:pPr>
      <w:r>
        <w:rPr>
          <w:b/>
        </w:rPr>
        <w:t>Konsavage WM Jr</w:t>
      </w:r>
      <w:r>
        <w:t xml:space="preserve">, Roper JN, Ishmael FT, and Yochum GS.  The MYC 3’ Wnt responsive element regulates neutrophil recruitment after acute colonic injury in mice.  </w:t>
      </w:r>
      <w:r>
        <w:rPr>
          <w:i/>
        </w:rPr>
        <w:t>Digestive Diseases and Sciences</w:t>
      </w:r>
      <w:r>
        <w:t xml:space="preserve"> 2013; 58(10):2858-67. </w:t>
      </w:r>
    </w:p>
    <w:p w14:paraId="5837DFBB" w14:textId="77777777" w:rsidR="006A1899" w:rsidRDefault="008C6249">
      <w:pPr>
        <w:spacing w:after="0" w:line="259" w:lineRule="auto"/>
        <w:ind w:left="468" w:right="0" w:firstLine="0"/>
      </w:pPr>
      <w:r>
        <w:t xml:space="preserve"> </w:t>
      </w:r>
    </w:p>
    <w:p w14:paraId="728EF055" w14:textId="77777777" w:rsidR="006A1899" w:rsidRDefault="008C6249">
      <w:pPr>
        <w:numPr>
          <w:ilvl w:val="0"/>
          <w:numId w:val="1"/>
        </w:numPr>
        <w:spacing w:after="1" w:line="239" w:lineRule="auto"/>
        <w:ind w:right="0" w:hanging="360"/>
      </w:pPr>
      <w:r>
        <w:rPr>
          <w:b/>
        </w:rPr>
        <w:t>Konsavage WM</w:t>
      </w:r>
      <w:r>
        <w:t xml:space="preserve">, Umstead TM, Wu Y, Phelps DS, and Shenberger, JS. Hyperoxia-induced alterations in the pulmonary proteome of juvenile rats. </w:t>
      </w:r>
      <w:r>
        <w:rPr>
          <w:i/>
        </w:rPr>
        <w:t>Experimental Lung Research</w:t>
      </w:r>
      <w:r>
        <w:t xml:space="preserve"> 2013; 39(2): 107-17. </w:t>
      </w:r>
    </w:p>
    <w:p w14:paraId="70A6E031" w14:textId="77777777" w:rsidR="006A1899" w:rsidRDefault="008C6249">
      <w:pPr>
        <w:spacing w:after="0" w:line="259" w:lineRule="auto"/>
        <w:ind w:left="828" w:right="0" w:firstLine="0"/>
      </w:pPr>
      <w:r>
        <w:t xml:space="preserve"> </w:t>
      </w:r>
    </w:p>
    <w:p w14:paraId="4CF3A69F" w14:textId="77777777" w:rsidR="006A1899" w:rsidRDefault="008C6249">
      <w:pPr>
        <w:numPr>
          <w:ilvl w:val="0"/>
          <w:numId w:val="1"/>
        </w:numPr>
        <w:ind w:right="0" w:hanging="360"/>
      </w:pPr>
      <w:r>
        <w:rPr>
          <w:b/>
        </w:rPr>
        <w:t>Konsavage WM Jr</w:t>
      </w:r>
      <w:r>
        <w:t xml:space="preserve">, and Yochum GS. Intersection of Hippo/YAP and Wnt/β-catenin signaling pathways. </w:t>
      </w:r>
      <w:r>
        <w:rPr>
          <w:i/>
        </w:rPr>
        <w:t>ACTA Biochimica et Biophysica Sinica</w:t>
      </w:r>
      <w:r>
        <w:t xml:space="preserve"> (Shanghai) 2013;45(2):71-9. </w:t>
      </w:r>
    </w:p>
    <w:p w14:paraId="3A4BEE1D" w14:textId="77777777" w:rsidR="006A1899" w:rsidRDefault="008C6249">
      <w:pPr>
        <w:spacing w:after="0" w:line="259" w:lineRule="auto"/>
        <w:ind w:left="468" w:right="0" w:firstLine="0"/>
      </w:pPr>
      <w:r>
        <w:lastRenderedPageBreak/>
        <w:t xml:space="preserve"> </w:t>
      </w:r>
    </w:p>
    <w:p w14:paraId="0DFAABE6" w14:textId="77777777" w:rsidR="006A1899" w:rsidRDefault="008C6249">
      <w:pPr>
        <w:numPr>
          <w:ilvl w:val="0"/>
          <w:numId w:val="1"/>
        </w:numPr>
        <w:ind w:right="0" w:hanging="360"/>
      </w:pPr>
      <w:r>
        <w:rPr>
          <w:b/>
        </w:rPr>
        <w:t>Konsavage WM Jr</w:t>
      </w:r>
      <w:r>
        <w:t xml:space="preserve">, Jin G, and Yochum GS. The MYC 3’ Wnt-responsive element regulates homeostasis and regeneration in the mouse intestinal tract. </w:t>
      </w:r>
      <w:r>
        <w:rPr>
          <w:i/>
        </w:rPr>
        <w:t xml:space="preserve">Molecular and Cellular Biology 2012; </w:t>
      </w:r>
      <w:r>
        <w:t xml:space="preserve">32(19):3891-902. </w:t>
      </w:r>
    </w:p>
    <w:p w14:paraId="64A15677" w14:textId="77777777" w:rsidR="006A1899" w:rsidRDefault="008C6249">
      <w:pPr>
        <w:spacing w:after="0" w:line="259" w:lineRule="auto"/>
        <w:ind w:left="468" w:right="0" w:firstLine="0"/>
      </w:pPr>
      <w:r>
        <w:t xml:space="preserve"> </w:t>
      </w:r>
    </w:p>
    <w:p w14:paraId="1C7F111D" w14:textId="77777777" w:rsidR="006A1899" w:rsidRDefault="008C6249">
      <w:pPr>
        <w:numPr>
          <w:ilvl w:val="0"/>
          <w:numId w:val="1"/>
        </w:numPr>
        <w:ind w:right="0" w:hanging="360"/>
      </w:pPr>
      <w:r>
        <w:rPr>
          <w:b/>
        </w:rPr>
        <w:t>Konsavage WM Jr</w:t>
      </w:r>
      <w:r>
        <w:t xml:space="preserve">, Kyler SL, Rennoll SA, Jin G, and Yochum GS. Wnt/β-catenin signaling regulates Yes-associated protein (YAP) gene expression in colorectal carcinoma cells.  </w:t>
      </w:r>
      <w:r>
        <w:rPr>
          <w:i/>
        </w:rPr>
        <w:t>Journal of Biological Chemistry</w:t>
      </w:r>
      <w:r>
        <w:t xml:space="preserve"> 2012; 287(15):11730-9. </w:t>
      </w:r>
    </w:p>
    <w:p w14:paraId="51C03F01" w14:textId="77777777" w:rsidR="006A1899" w:rsidRDefault="008C6249">
      <w:pPr>
        <w:spacing w:after="0" w:line="259" w:lineRule="auto"/>
        <w:ind w:left="468" w:right="0" w:firstLine="0"/>
      </w:pPr>
      <w:r>
        <w:t xml:space="preserve"> </w:t>
      </w:r>
    </w:p>
    <w:p w14:paraId="573DEF6A" w14:textId="77777777" w:rsidR="006A1899" w:rsidRDefault="008C6249">
      <w:pPr>
        <w:numPr>
          <w:ilvl w:val="0"/>
          <w:numId w:val="1"/>
        </w:numPr>
        <w:ind w:right="0" w:hanging="360"/>
      </w:pPr>
      <w:r>
        <w:rPr>
          <w:b/>
        </w:rPr>
        <w:t>Konsavage WM</w:t>
      </w:r>
      <w:r>
        <w:t xml:space="preserve">, Zhang L, Wu Y, and Shenberger JS. Hyperoxia-induced activation of the integrated stress response in newborn rat lung. </w:t>
      </w:r>
      <w:r>
        <w:rPr>
          <w:i/>
        </w:rPr>
        <w:t>American Journal of Physiology Lung Cell and Molecular Physiology</w:t>
      </w:r>
      <w:r>
        <w:t xml:space="preserve"> 2012; 302(1):L27-35. </w:t>
      </w:r>
    </w:p>
    <w:p w14:paraId="7E169E7B" w14:textId="77777777" w:rsidR="006A1899" w:rsidRDefault="008C6249">
      <w:pPr>
        <w:spacing w:after="0" w:line="259" w:lineRule="auto"/>
        <w:ind w:left="468" w:right="0" w:firstLine="0"/>
      </w:pPr>
      <w:r>
        <w:t xml:space="preserve"> </w:t>
      </w:r>
    </w:p>
    <w:p w14:paraId="44CAC0E1" w14:textId="77777777" w:rsidR="006A1899" w:rsidRDefault="008C6249">
      <w:pPr>
        <w:numPr>
          <w:ilvl w:val="0"/>
          <w:numId w:val="1"/>
        </w:numPr>
        <w:ind w:right="0" w:hanging="360"/>
      </w:pPr>
      <w:r>
        <w:rPr>
          <w:b/>
        </w:rPr>
        <w:t>Konsavage W</w:t>
      </w:r>
      <w:r>
        <w:t xml:space="preserve">, Zhang L, Vary T, and Shenberger, JS.  Hyperoxia inhibits protein synthesis and increases eIF2a phosphorylation in the newborn rat lung.  </w:t>
      </w:r>
      <w:r>
        <w:rPr>
          <w:i/>
        </w:rPr>
        <w:t>American Journal of Physiology</w:t>
      </w:r>
      <w:r>
        <w:t xml:space="preserve"> </w:t>
      </w:r>
      <w:r>
        <w:rPr>
          <w:i/>
        </w:rPr>
        <w:t>Lung Cell and Molecular Physiology</w:t>
      </w:r>
      <w:r>
        <w:t xml:space="preserve"> 2010; 298(5):L678-86. </w:t>
      </w:r>
    </w:p>
    <w:p w14:paraId="31565CAB" w14:textId="77777777" w:rsidR="006A1899" w:rsidRDefault="008C6249">
      <w:pPr>
        <w:spacing w:after="0" w:line="259" w:lineRule="auto"/>
        <w:ind w:left="468" w:right="0" w:firstLine="0"/>
      </w:pPr>
      <w:r>
        <w:t xml:space="preserve"> </w:t>
      </w:r>
    </w:p>
    <w:p w14:paraId="592DD94C" w14:textId="77777777" w:rsidR="006A1899" w:rsidRDefault="008C6249">
      <w:pPr>
        <w:numPr>
          <w:ilvl w:val="0"/>
          <w:numId w:val="1"/>
        </w:numPr>
        <w:ind w:right="0" w:hanging="360"/>
      </w:pPr>
      <w:r>
        <w:t xml:space="preserve">Nowak MG, Sudol M, Lee NE, </w:t>
      </w:r>
      <w:r>
        <w:rPr>
          <w:b/>
        </w:rPr>
        <w:t>Konsavage WM Jr</w:t>
      </w:r>
      <w:r>
        <w:t xml:space="preserve">, and Katzman M.  Identifying amino acid residues that contribute to the cellular-DNA binding site on retroviral integrase.  </w:t>
      </w:r>
      <w:r>
        <w:rPr>
          <w:i/>
        </w:rPr>
        <w:t>Virology</w:t>
      </w:r>
      <w:r>
        <w:t xml:space="preserve"> 2009; 389(1-2):141-8. </w:t>
      </w:r>
    </w:p>
    <w:p w14:paraId="4EF615E5" w14:textId="77777777" w:rsidR="006A1899" w:rsidRDefault="008C6249">
      <w:pPr>
        <w:spacing w:after="0" w:line="259" w:lineRule="auto"/>
        <w:ind w:left="828" w:right="0" w:firstLine="0"/>
      </w:pPr>
      <w:r>
        <w:rPr>
          <w:b/>
        </w:rPr>
        <w:t xml:space="preserve"> </w:t>
      </w:r>
    </w:p>
    <w:p w14:paraId="51B2D180" w14:textId="77777777" w:rsidR="006A1899" w:rsidRDefault="008C6249">
      <w:pPr>
        <w:numPr>
          <w:ilvl w:val="0"/>
          <w:numId w:val="1"/>
        </w:numPr>
        <w:ind w:right="0" w:hanging="360"/>
      </w:pPr>
      <w:r>
        <w:rPr>
          <w:b/>
        </w:rPr>
        <w:t>Konsavage WM Jr</w:t>
      </w:r>
      <w:r>
        <w:t xml:space="preserve">, Sudol M, and Katzman M.  Effects of varying the spacing of the D, D-35-E motif in the catalytic region of Rous sarcoma virus integrase.  </w:t>
      </w:r>
      <w:r>
        <w:rPr>
          <w:i/>
        </w:rPr>
        <w:t>Virology</w:t>
      </w:r>
      <w:r>
        <w:t xml:space="preserve"> 2009; 379:223-33. </w:t>
      </w:r>
    </w:p>
    <w:p w14:paraId="541BF723" w14:textId="77777777" w:rsidR="006A1899" w:rsidRDefault="008C6249">
      <w:pPr>
        <w:spacing w:after="0" w:line="259" w:lineRule="auto"/>
        <w:ind w:left="828" w:right="0" w:firstLine="0"/>
      </w:pPr>
      <w:r>
        <w:rPr>
          <w:b/>
        </w:rPr>
        <w:t xml:space="preserve"> </w:t>
      </w:r>
    </w:p>
    <w:p w14:paraId="4FE4D92C" w14:textId="77777777" w:rsidR="006A1899" w:rsidRDefault="008C6249">
      <w:pPr>
        <w:numPr>
          <w:ilvl w:val="0"/>
          <w:numId w:val="1"/>
        </w:numPr>
        <w:ind w:right="0" w:hanging="360"/>
      </w:pPr>
      <w:r>
        <w:rPr>
          <w:b/>
        </w:rPr>
        <w:t>Konsavage WM Jr</w:t>
      </w:r>
      <w:r>
        <w:t xml:space="preserve">, Sudol M, Lee NE, and Katzman M.  Retroviral integrases that are improved for processing but impaired for joining.  </w:t>
      </w:r>
      <w:r>
        <w:rPr>
          <w:i/>
        </w:rPr>
        <w:t xml:space="preserve">Virus Research </w:t>
      </w:r>
      <w:r>
        <w:t>2007;</w:t>
      </w:r>
      <w:r>
        <w:rPr>
          <w:i/>
        </w:rPr>
        <w:t xml:space="preserve"> </w:t>
      </w:r>
      <w:r>
        <w:t xml:space="preserve">125(2):198-210. </w:t>
      </w:r>
    </w:p>
    <w:p w14:paraId="196C5690" w14:textId="77777777" w:rsidR="006A1899" w:rsidRDefault="008C6249">
      <w:pPr>
        <w:spacing w:after="101" w:line="259" w:lineRule="auto"/>
        <w:ind w:left="828" w:right="0" w:firstLine="0"/>
      </w:pPr>
      <w:r>
        <w:t xml:space="preserve"> </w:t>
      </w:r>
    </w:p>
    <w:p w14:paraId="6C41832A" w14:textId="77777777" w:rsidR="006A1899" w:rsidRDefault="008C6249">
      <w:pPr>
        <w:numPr>
          <w:ilvl w:val="0"/>
          <w:numId w:val="1"/>
        </w:numPr>
        <w:ind w:right="0" w:hanging="360"/>
      </w:pPr>
      <w:r>
        <w:rPr>
          <w:b/>
        </w:rPr>
        <w:t>Konsavage WM Jr</w:t>
      </w:r>
      <w:r>
        <w:t xml:space="preserve">, Burkholder S, Sudol M, Harper AL, and Katzman M.  A substitution in Rous sarcoma virus integrase that separates its two biologically relevant enzymatic activities.  </w:t>
      </w:r>
      <w:r>
        <w:rPr>
          <w:i/>
        </w:rPr>
        <w:t>Journal of Virology</w:t>
      </w:r>
      <w:r>
        <w:t xml:space="preserve"> 2005; 79:4691-9. </w:t>
      </w:r>
    </w:p>
    <w:p w14:paraId="2851CC95" w14:textId="77777777" w:rsidR="00305F50" w:rsidRDefault="00305F50" w:rsidP="00305F50">
      <w:pPr>
        <w:pStyle w:val="ListParagraph"/>
      </w:pPr>
    </w:p>
    <w:p w14:paraId="65224060" w14:textId="77777777" w:rsidR="00493ED5" w:rsidRPr="00305F50" w:rsidRDefault="00493ED5" w:rsidP="00493ED5">
      <w:pPr>
        <w:rPr>
          <w:i/>
        </w:rPr>
      </w:pPr>
      <w:r>
        <w:rPr>
          <w:i/>
        </w:rPr>
        <w:t>Books &amp; Chapters</w:t>
      </w:r>
    </w:p>
    <w:p w14:paraId="6E0C9151" w14:textId="77777777" w:rsidR="00493ED5" w:rsidRDefault="00493ED5" w:rsidP="00493ED5">
      <w:pPr>
        <w:numPr>
          <w:ilvl w:val="0"/>
          <w:numId w:val="3"/>
        </w:numPr>
        <w:ind w:right="0" w:hanging="360"/>
      </w:pPr>
      <w:r w:rsidRPr="007C2433">
        <w:rPr>
          <w:b/>
        </w:rPr>
        <w:t>Raup-Konsavage WM</w:t>
      </w:r>
      <w:r>
        <w:t xml:space="preserve">. (editor): </w:t>
      </w:r>
      <w:r w:rsidRPr="00493ED5">
        <w:rPr>
          <w:i/>
        </w:rPr>
        <w:t>Biomedicines: Therapeutic Potential for Cannabis and Cannabinoids</w:t>
      </w:r>
      <w:r>
        <w:t>. 2023.</w:t>
      </w:r>
    </w:p>
    <w:p w14:paraId="732FC696" w14:textId="77777777" w:rsidR="00493ED5" w:rsidRDefault="00493ED5" w:rsidP="00493ED5">
      <w:pPr>
        <w:ind w:left="453" w:right="0" w:firstLine="0"/>
      </w:pPr>
    </w:p>
    <w:p w14:paraId="0AE25391" w14:textId="77777777" w:rsidR="00580F63" w:rsidRDefault="00493ED5" w:rsidP="00493ED5">
      <w:pPr>
        <w:numPr>
          <w:ilvl w:val="0"/>
          <w:numId w:val="3"/>
        </w:numPr>
        <w:ind w:right="0" w:hanging="360"/>
      </w:pPr>
      <w:r w:rsidRPr="00580F63">
        <w:rPr>
          <w:b/>
        </w:rPr>
        <w:t>Raup-Konsavage WM</w:t>
      </w:r>
      <w:r>
        <w:t xml:space="preserve">, and Vrana KE. </w:t>
      </w:r>
      <w:r w:rsidR="00580F63">
        <w:t xml:space="preserve">Medical use of cannabidiol and impact on cancer cell viability in </w:t>
      </w:r>
      <w:r w:rsidR="00580F63" w:rsidRPr="00580F63">
        <w:rPr>
          <w:i/>
        </w:rPr>
        <w:t>Medicinal Usage of Cannabis and Cannabinoids</w:t>
      </w:r>
      <w:r w:rsidR="00580F63">
        <w:t xml:space="preserve">.  Edited by Preedy V.R., Patel V. B., and Martin C.R. </w:t>
      </w:r>
      <w:r>
        <w:t>2023.</w:t>
      </w:r>
      <w:r>
        <w:br/>
      </w:r>
    </w:p>
    <w:p w14:paraId="27ACAAE2" w14:textId="55594EA9" w:rsidR="00580F63" w:rsidRPr="00305F50" w:rsidRDefault="00F7060C" w:rsidP="00580F63">
      <w:pPr>
        <w:spacing w:after="98" w:line="259" w:lineRule="auto"/>
        <w:ind w:right="0"/>
        <w:rPr>
          <w:i/>
        </w:rPr>
      </w:pPr>
      <w:r>
        <w:rPr>
          <w:i/>
        </w:rPr>
        <w:t xml:space="preserve">Selected </w:t>
      </w:r>
      <w:r w:rsidR="00580F63">
        <w:rPr>
          <w:i/>
        </w:rPr>
        <w:t>Abstracts</w:t>
      </w:r>
    </w:p>
    <w:p w14:paraId="706B82B4" w14:textId="28008801" w:rsidR="006F038E" w:rsidRDefault="006F038E">
      <w:pPr>
        <w:numPr>
          <w:ilvl w:val="0"/>
          <w:numId w:val="2"/>
        </w:numPr>
        <w:ind w:right="0" w:hanging="360"/>
      </w:pPr>
      <w:r w:rsidRPr="00580F63">
        <w:t>Sepulveda DE</w:t>
      </w:r>
      <w:r w:rsidRPr="0022047E">
        <w:t>,</w:t>
      </w:r>
      <w:r>
        <w:t xml:space="preserve"> </w:t>
      </w:r>
      <w:r w:rsidRPr="0022047E">
        <w:t>Graziane NM, Vrana KE, and</w:t>
      </w:r>
      <w:r>
        <w:rPr>
          <w:b/>
        </w:rPr>
        <w:t xml:space="preserve"> </w:t>
      </w:r>
      <w:r w:rsidRPr="005247DD">
        <w:rPr>
          <w:b/>
        </w:rPr>
        <w:t>Raup-Konsavage WM</w:t>
      </w:r>
      <w:r>
        <w:t>. Antinociceptive effects of cannabichromene in animal pain models.  American Council for Medicinally Active Plants, Bayamon PR October 18-21, 2023. [Presenter – Keynote Presentation]</w:t>
      </w:r>
      <w:r>
        <w:br/>
      </w:r>
    </w:p>
    <w:p w14:paraId="5D660659" w14:textId="19E7CE54" w:rsidR="006F038E" w:rsidRDefault="006F038E">
      <w:pPr>
        <w:numPr>
          <w:ilvl w:val="0"/>
          <w:numId w:val="2"/>
        </w:numPr>
        <w:ind w:right="0" w:hanging="360"/>
      </w:pPr>
      <w:r w:rsidRPr="005247DD">
        <w:rPr>
          <w:b/>
        </w:rPr>
        <w:t>Raup-Konsavage WM</w:t>
      </w:r>
      <w:r>
        <w:t>. Minor cannabinoids for treating ulcerative colitis.  Inflammatory Bowel Disease (IBD) Research Symposium, Hershey PA October 13, 2023. [Presenter – Invited Talk]</w:t>
      </w:r>
      <w:r>
        <w:br/>
      </w:r>
    </w:p>
    <w:p w14:paraId="26246556" w14:textId="2DEFA3A7" w:rsidR="00580F63" w:rsidRPr="00580F63" w:rsidRDefault="00580F63">
      <w:pPr>
        <w:numPr>
          <w:ilvl w:val="0"/>
          <w:numId w:val="2"/>
        </w:numPr>
        <w:ind w:right="0" w:hanging="360"/>
      </w:pPr>
      <w:r w:rsidRPr="00580F63">
        <w:t>Sepulveda DE</w:t>
      </w:r>
      <w:r w:rsidRPr="0022047E">
        <w:t>,</w:t>
      </w:r>
      <w:r w:rsidR="0022047E">
        <w:t xml:space="preserve"> </w:t>
      </w:r>
      <w:r w:rsidR="0022047E" w:rsidRPr="0022047E">
        <w:t>Graziane NM, Vrana KE, and</w:t>
      </w:r>
      <w:r>
        <w:rPr>
          <w:b/>
        </w:rPr>
        <w:t xml:space="preserve"> </w:t>
      </w:r>
      <w:r w:rsidRPr="005247DD">
        <w:rPr>
          <w:b/>
        </w:rPr>
        <w:t>Raup-Konsavage WM</w:t>
      </w:r>
      <w:r w:rsidR="0022047E">
        <w:t>.</w:t>
      </w:r>
      <w:r>
        <w:t xml:space="preserve"> </w:t>
      </w:r>
      <w:r w:rsidR="0022047E">
        <w:t>Antinociceptive effects of cannabichromene in animal pain models.</w:t>
      </w:r>
      <w:r>
        <w:t xml:space="preserve">  </w:t>
      </w:r>
      <w:r w:rsidR="0022047E">
        <w:t>International Cannabinoid Research Society Symposium</w:t>
      </w:r>
      <w:r>
        <w:t xml:space="preserve"> </w:t>
      </w:r>
      <w:r w:rsidR="0022047E">
        <w:lastRenderedPageBreak/>
        <w:t>Toronto</w:t>
      </w:r>
      <w:r>
        <w:t xml:space="preserve"> </w:t>
      </w:r>
      <w:r w:rsidR="0022047E">
        <w:t>ON</w:t>
      </w:r>
      <w:r>
        <w:t xml:space="preserve"> June 2</w:t>
      </w:r>
      <w:r w:rsidR="0022047E">
        <w:t>4</w:t>
      </w:r>
      <w:r>
        <w:t>-Ju</w:t>
      </w:r>
      <w:r w:rsidR="0022047E">
        <w:t>ne</w:t>
      </w:r>
      <w:r>
        <w:t xml:space="preserve"> </w:t>
      </w:r>
      <w:r w:rsidR="0022047E">
        <w:t>29</w:t>
      </w:r>
      <w:r>
        <w:t>, 202</w:t>
      </w:r>
      <w:r w:rsidR="0022047E">
        <w:t>3</w:t>
      </w:r>
      <w:r>
        <w:t>. [Presenter]</w:t>
      </w:r>
      <w:r>
        <w:br/>
      </w:r>
    </w:p>
    <w:p w14:paraId="5D5067C9" w14:textId="77777777" w:rsidR="005247DD" w:rsidRDefault="005247DD">
      <w:pPr>
        <w:numPr>
          <w:ilvl w:val="0"/>
          <w:numId w:val="2"/>
        </w:numPr>
        <w:ind w:right="0" w:hanging="360"/>
      </w:pPr>
      <w:r w:rsidRPr="005247DD">
        <w:rPr>
          <w:b/>
        </w:rPr>
        <w:t>Raup-Konsavage WM</w:t>
      </w:r>
      <w:r>
        <w:t xml:space="preserve">, Carkaci-Salli N, Sepulveda DE, Gounder VK, Kamal F, Graziane NM, and Vrana KE.  Chasing the entourage effect in </w:t>
      </w:r>
      <w:r w:rsidRPr="005247DD">
        <w:rPr>
          <w:i/>
        </w:rPr>
        <w:t>Cannabis</w:t>
      </w:r>
      <w:r>
        <w:t>.  American Council for Medicinally Active Plants, Bayamon PR June 28-July 4, 2022. [Presenter – Invited Talk]</w:t>
      </w:r>
      <w:r>
        <w:br/>
      </w:r>
    </w:p>
    <w:p w14:paraId="70AA7829" w14:textId="77777777" w:rsidR="005247DD" w:rsidRDefault="005247DD">
      <w:pPr>
        <w:numPr>
          <w:ilvl w:val="0"/>
          <w:numId w:val="2"/>
        </w:numPr>
        <w:ind w:right="0" w:hanging="360"/>
      </w:pPr>
      <w:r>
        <w:t xml:space="preserve">Sepulveda DE, Morris DP, </w:t>
      </w:r>
      <w:r w:rsidRPr="005247DD">
        <w:rPr>
          <w:b/>
        </w:rPr>
        <w:t>Raup-Konsavage WM</w:t>
      </w:r>
      <w:r>
        <w:t>, Sun D, Vrana KE, and Graziane NM.  Cannabigerol (CBG) attenuates mechanical hypersensitivity elicited by chemotherapy-induced peripheral neuropathy.  International Cannabinoid June 25-30, Virtual [Presenter]</w:t>
      </w:r>
    </w:p>
    <w:p w14:paraId="56D0BD8C" w14:textId="77777777" w:rsidR="005247DD" w:rsidRPr="005247DD" w:rsidRDefault="005247DD" w:rsidP="005247DD">
      <w:pPr>
        <w:ind w:left="453" w:right="0" w:firstLine="0"/>
      </w:pPr>
    </w:p>
    <w:p w14:paraId="2104790E" w14:textId="77777777" w:rsidR="006A1899" w:rsidRDefault="008C6249">
      <w:pPr>
        <w:numPr>
          <w:ilvl w:val="0"/>
          <w:numId w:val="2"/>
        </w:numPr>
        <w:ind w:right="0" w:hanging="360"/>
      </w:pPr>
      <w:r>
        <w:rPr>
          <w:b/>
        </w:rPr>
        <w:t>Raup-Konsavage WM</w:t>
      </w:r>
      <w:r>
        <w:t xml:space="preserve">, Wang Y, Wang WW, and Reeves WB. Evaluation of the role of PAD4 in ischemia reperfusion injury in the kidney, Penn State College of Medicine, Department of Medicine Research Day, Hershey PA  April 12, 2016. [Presenter] </w:t>
      </w:r>
    </w:p>
    <w:p w14:paraId="43A4D5B8" w14:textId="77777777" w:rsidR="006A1899" w:rsidRDefault="008C6249">
      <w:pPr>
        <w:spacing w:after="0" w:line="259" w:lineRule="auto"/>
        <w:ind w:left="468" w:right="0" w:firstLine="0"/>
      </w:pPr>
      <w:r>
        <w:t xml:space="preserve"> </w:t>
      </w:r>
    </w:p>
    <w:p w14:paraId="25A7C033" w14:textId="77777777" w:rsidR="006A1899" w:rsidRDefault="008C6249">
      <w:pPr>
        <w:numPr>
          <w:ilvl w:val="0"/>
          <w:numId w:val="2"/>
        </w:numPr>
        <w:ind w:right="0" w:hanging="360"/>
      </w:pPr>
      <w:r>
        <w:rPr>
          <w:b/>
        </w:rPr>
        <w:t>Raup-Konsavage WM</w:t>
      </w:r>
      <w:r>
        <w:t xml:space="preserve">, Gerhard GM, and Yochum GS. Stimulation of intestinal epithelial cell repair by lithium requires MYC.  Advances in Inflammatory Bowel Diseases Crohn’s &amp; Colitis Foundation’s National Clinical &amp; Research Conference, Orlando, FL, December 4-6, 2014. [Presenter] </w:t>
      </w:r>
    </w:p>
    <w:p w14:paraId="2F851B87" w14:textId="77777777" w:rsidR="006A1899" w:rsidRDefault="008C6249">
      <w:pPr>
        <w:spacing w:after="0" w:line="259" w:lineRule="auto"/>
        <w:ind w:left="468" w:right="0" w:firstLine="0"/>
      </w:pPr>
      <w:r>
        <w:t xml:space="preserve"> </w:t>
      </w:r>
    </w:p>
    <w:p w14:paraId="207DC9F6" w14:textId="77777777" w:rsidR="006A1899" w:rsidRDefault="008C6249">
      <w:pPr>
        <w:numPr>
          <w:ilvl w:val="0"/>
          <w:numId w:val="2"/>
        </w:numPr>
        <w:ind w:right="0" w:hanging="360"/>
      </w:pPr>
      <w:r>
        <w:t xml:space="preserve">Gerhard G, </w:t>
      </w:r>
      <w:r>
        <w:rPr>
          <w:b/>
        </w:rPr>
        <w:t>Raup-Konsavage WM</w:t>
      </w:r>
      <w:r>
        <w:t xml:space="preserve">, and Yochum GS. The role of lithium in the prevention and treatment of ulcerative colitis.  Penn State Hershey Summer Undergraduate Research Symposium, Hershey, PA, July 31, 2014. </w:t>
      </w:r>
    </w:p>
    <w:p w14:paraId="14B99386" w14:textId="77777777" w:rsidR="006A1899" w:rsidRDefault="008C6249">
      <w:pPr>
        <w:spacing w:after="0" w:line="259" w:lineRule="auto"/>
        <w:ind w:left="468" w:right="0" w:firstLine="0"/>
      </w:pPr>
      <w:r>
        <w:t xml:space="preserve"> </w:t>
      </w:r>
    </w:p>
    <w:p w14:paraId="2E5D3527" w14:textId="77777777" w:rsidR="006A1899" w:rsidRDefault="008C6249">
      <w:pPr>
        <w:numPr>
          <w:ilvl w:val="0"/>
          <w:numId w:val="2"/>
        </w:numPr>
        <w:ind w:right="0" w:hanging="360"/>
      </w:pPr>
      <w:r>
        <w:rPr>
          <w:b/>
        </w:rPr>
        <w:t xml:space="preserve">Konsavage, WM </w:t>
      </w:r>
      <w:r>
        <w:t xml:space="preserve">and Yochum, GS. Stimulation of intestinal repair by lithium involves MYC. Advances in Inflammatory Bowel Diseases Crohn’s &amp; Colitis Foundation’s National Clinical &amp; Research Conference, Hollywood, FL, December 12-14, 2013. [Presenter] </w:t>
      </w:r>
    </w:p>
    <w:p w14:paraId="48CCD8DB" w14:textId="77777777" w:rsidR="006A1899" w:rsidRDefault="008C6249">
      <w:pPr>
        <w:spacing w:after="0" w:line="259" w:lineRule="auto"/>
        <w:ind w:left="468" w:right="0" w:firstLine="0"/>
      </w:pPr>
      <w:r>
        <w:t xml:space="preserve"> </w:t>
      </w:r>
    </w:p>
    <w:p w14:paraId="75A83288" w14:textId="77777777" w:rsidR="006A1899" w:rsidRDefault="008C6249">
      <w:pPr>
        <w:numPr>
          <w:ilvl w:val="0"/>
          <w:numId w:val="2"/>
        </w:numPr>
        <w:ind w:right="0" w:hanging="360"/>
      </w:pPr>
      <w:r>
        <w:rPr>
          <w:b/>
        </w:rPr>
        <w:t>Konsavage, WM Jr</w:t>
      </w:r>
      <w:r>
        <w:t xml:space="preserve">., Jin, G, and Yochum, GS. The MYC 3’ Wnt response element regulates homeostasis and regeneration in the mouse intestinal tract. EMBO workshop: 30 years of Wnt Signaling, Eqmond aan Zee, the Netherlands, June 27-July1, 2012. </w:t>
      </w:r>
    </w:p>
    <w:p w14:paraId="50A7779A" w14:textId="77777777" w:rsidR="006A1899" w:rsidRDefault="008C6249">
      <w:pPr>
        <w:spacing w:after="0" w:line="259" w:lineRule="auto"/>
        <w:ind w:left="0" w:right="0" w:firstLine="0"/>
      </w:pPr>
      <w:r>
        <w:t xml:space="preserve"> </w:t>
      </w:r>
    </w:p>
    <w:p w14:paraId="43A433E0" w14:textId="77777777" w:rsidR="006A1899" w:rsidRDefault="008C6249">
      <w:pPr>
        <w:numPr>
          <w:ilvl w:val="0"/>
          <w:numId w:val="2"/>
        </w:numPr>
        <w:ind w:right="0" w:hanging="360"/>
      </w:pPr>
      <w:r>
        <w:rPr>
          <w:b/>
        </w:rPr>
        <w:t>Konsavage WM Jr</w:t>
      </w:r>
      <w:r>
        <w:t xml:space="preserve">, Kyler, SL, Jin, G, Rennoll, SA, and Yochum, GS. The Hippo pathway effector protein YAP is a direct transcriptional target of Wnt/β-catenin signaling.  Mechanisms of Organ Repair and Regeneration, Ellicott City, MD, September 13-16, 2011. [Presenter] </w:t>
      </w:r>
    </w:p>
    <w:p w14:paraId="0D66E58E" w14:textId="77777777" w:rsidR="006A1899" w:rsidRDefault="008C6249">
      <w:pPr>
        <w:spacing w:after="0" w:line="259" w:lineRule="auto"/>
        <w:ind w:left="60" w:right="0" w:firstLine="0"/>
      </w:pPr>
      <w:r>
        <w:t xml:space="preserve"> </w:t>
      </w:r>
    </w:p>
    <w:p w14:paraId="3F812F82" w14:textId="77777777" w:rsidR="006A1899" w:rsidRDefault="008C6249">
      <w:pPr>
        <w:numPr>
          <w:ilvl w:val="0"/>
          <w:numId w:val="2"/>
        </w:numPr>
        <w:ind w:right="0" w:hanging="360"/>
      </w:pPr>
      <w:r>
        <w:t xml:space="preserve">Edwards B, </w:t>
      </w:r>
      <w:r>
        <w:rPr>
          <w:b/>
        </w:rPr>
        <w:t>Konsavage W</w:t>
      </w:r>
      <w:r>
        <w:t>, Zurat W, and Shenberger JS.</w:t>
      </w:r>
      <w:r>
        <w:rPr>
          <w:b/>
        </w:rPr>
        <w:t xml:space="preserve">  </w:t>
      </w:r>
      <w:r>
        <w:t xml:space="preserve">Feeding enhances translation initiation complex formation in the lungs of hyperoxia-exposed newborn rats.  Pediatric Academic Societies Annual Meeting, Baltimore, MD, May 2-5, 2009. </w:t>
      </w:r>
    </w:p>
    <w:p w14:paraId="5A086D89" w14:textId="77777777" w:rsidR="006A1899" w:rsidRDefault="008C6249">
      <w:pPr>
        <w:spacing w:after="0" w:line="259" w:lineRule="auto"/>
        <w:ind w:left="0" w:right="0" w:firstLine="0"/>
      </w:pPr>
      <w:r>
        <w:t xml:space="preserve"> </w:t>
      </w:r>
    </w:p>
    <w:p w14:paraId="105EFC69" w14:textId="77777777" w:rsidR="006A1899" w:rsidRDefault="008C6249">
      <w:pPr>
        <w:numPr>
          <w:ilvl w:val="0"/>
          <w:numId w:val="2"/>
        </w:numPr>
        <w:ind w:right="0" w:hanging="360"/>
      </w:pPr>
      <w:r>
        <w:rPr>
          <w:b/>
        </w:rPr>
        <w:t>Konsavage W</w:t>
      </w:r>
      <w:r>
        <w:t xml:space="preserve">, Zurat W, Zhang L, Vary T, and Shenberger J.  Hyperoxia diminishes pulmonary protein synthesis in newborn rats.  Pediatric Academic Societies Annual Meeting, Baltimore, MD, May 2-5, 2009. </w:t>
      </w:r>
    </w:p>
    <w:p w14:paraId="2706013E" w14:textId="77777777" w:rsidR="006A1899" w:rsidRDefault="008C6249">
      <w:pPr>
        <w:spacing w:after="0" w:line="259" w:lineRule="auto"/>
        <w:ind w:left="0" w:right="0" w:firstLine="0"/>
      </w:pPr>
      <w:r>
        <w:t xml:space="preserve"> </w:t>
      </w:r>
    </w:p>
    <w:p w14:paraId="2C6A6ABC" w14:textId="77777777" w:rsidR="006A1899" w:rsidRDefault="008C6249">
      <w:pPr>
        <w:numPr>
          <w:ilvl w:val="0"/>
          <w:numId w:val="2"/>
        </w:numPr>
        <w:ind w:right="0" w:hanging="360"/>
      </w:pPr>
      <w:r>
        <w:t xml:space="preserve">Shenberger JS, Zhang L, Zurat W, </w:t>
      </w:r>
      <w:r>
        <w:rPr>
          <w:b/>
        </w:rPr>
        <w:t>Konsavage W</w:t>
      </w:r>
      <w:r>
        <w:t xml:space="preserve">, Kimball SR, and Jefferson LS. Peroxide represses insulin-induced mTOR activity in lung epithelial cells by enhancing the binding of PRAS40 within the mTORC1 complex.  American Thoracic Society Annual Conference, Toronto, ON, May 21, 2008 </w:t>
      </w:r>
    </w:p>
    <w:p w14:paraId="098D8584" w14:textId="77777777" w:rsidR="006A1899" w:rsidRDefault="008C6249">
      <w:pPr>
        <w:spacing w:after="0" w:line="259" w:lineRule="auto"/>
        <w:ind w:left="0" w:right="0" w:firstLine="0"/>
      </w:pPr>
      <w:r>
        <w:t xml:space="preserve"> </w:t>
      </w:r>
    </w:p>
    <w:p w14:paraId="1547DCEB" w14:textId="77777777" w:rsidR="006A1899" w:rsidRDefault="008C6249">
      <w:pPr>
        <w:numPr>
          <w:ilvl w:val="0"/>
          <w:numId w:val="2"/>
        </w:numPr>
        <w:spacing w:after="1" w:line="239" w:lineRule="auto"/>
        <w:ind w:right="0" w:hanging="360"/>
      </w:pPr>
      <w:r>
        <w:t xml:space="preserve">Shenberger JS, Zhang L, </w:t>
      </w:r>
      <w:r>
        <w:rPr>
          <w:b/>
        </w:rPr>
        <w:t>Konsavage W</w:t>
      </w:r>
      <w:r>
        <w:t xml:space="preserve">, and O'Reilly M.  Pulmonary mTOR signaling pathways in hyperoxia-exposed adult rats.  American Thoracic Society Annual Conference, Toronto, ON, May 21, 2008 </w:t>
      </w:r>
    </w:p>
    <w:p w14:paraId="00F2CD2F" w14:textId="77777777" w:rsidR="006A1899" w:rsidRDefault="008C6249">
      <w:pPr>
        <w:spacing w:after="0" w:line="259" w:lineRule="auto"/>
        <w:ind w:left="0" w:right="0" w:firstLine="0"/>
      </w:pPr>
      <w:r>
        <w:t xml:space="preserve"> </w:t>
      </w:r>
    </w:p>
    <w:p w14:paraId="7DB6452F" w14:textId="77777777" w:rsidR="006A1899" w:rsidRDefault="008C6249">
      <w:pPr>
        <w:numPr>
          <w:ilvl w:val="0"/>
          <w:numId w:val="2"/>
        </w:numPr>
        <w:ind w:right="0" w:hanging="360"/>
      </w:pPr>
      <w:r>
        <w:lastRenderedPageBreak/>
        <w:t xml:space="preserve">Nowak MG, </w:t>
      </w:r>
      <w:r>
        <w:rPr>
          <w:b/>
        </w:rPr>
        <w:t>Konsavage WM Jr</w:t>
      </w:r>
      <w:r>
        <w:t xml:space="preserve">, Sudol M, and Katzman M.  Defining the cellular DNA binding site on the retroviral integrase protein. In: Abstracts of papers presented at the 2007 meeting on Retroviruses, page 223.  Cold Spring Harbor, 2007. </w:t>
      </w:r>
    </w:p>
    <w:p w14:paraId="5489165C" w14:textId="77777777" w:rsidR="006A1899" w:rsidRDefault="008C6249">
      <w:pPr>
        <w:spacing w:after="0" w:line="259" w:lineRule="auto"/>
        <w:ind w:left="360" w:right="0" w:firstLine="0"/>
      </w:pPr>
      <w:r>
        <w:t xml:space="preserve"> </w:t>
      </w:r>
    </w:p>
    <w:p w14:paraId="2A2B9739" w14:textId="77777777" w:rsidR="006A1899" w:rsidRDefault="008C6249">
      <w:pPr>
        <w:numPr>
          <w:ilvl w:val="0"/>
          <w:numId w:val="2"/>
        </w:numPr>
        <w:ind w:right="0" w:hanging="360"/>
      </w:pPr>
      <w:r>
        <w:rPr>
          <w:b/>
        </w:rPr>
        <w:t>Konsavage WM Jr</w:t>
      </w:r>
      <w:r>
        <w:t xml:space="preserve">, Sudol M, Lee N, and Katzman M.  Biochemical and virological studies of Rous sarcoma virus integrase mutants that are improved for processing but impaired for joining.  In: Abstracts of papers presented at the 2006 meeting on Retroviruses, page 156.  Cold Spring Harbor, 2006. [Presenter] </w:t>
      </w:r>
    </w:p>
    <w:p w14:paraId="65552A57" w14:textId="77777777" w:rsidR="006A1899" w:rsidRDefault="008C6249">
      <w:pPr>
        <w:spacing w:after="0" w:line="259" w:lineRule="auto"/>
        <w:ind w:left="360" w:right="0" w:firstLine="0"/>
      </w:pPr>
      <w:r>
        <w:t xml:space="preserve"> </w:t>
      </w:r>
    </w:p>
    <w:p w14:paraId="0F463422" w14:textId="77777777" w:rsidR="006A1899" w:rsidRDefault="008C6249">
      <w:pPr>
        <w:numPr>
          <w:ilvl w:val="0"/>
          <w:numId w:val="2"/>
        </w:numPr>
        <w:ind w:right="0" w:hanging="360"/>
      </w:pPr>
      <w:r>
        <w:rPr>
          <w:b/>
        </w:rPr>
        <w:t>Konsavage WM Jr.</w:t>
      </w:r>
      <w:r>
        <w:t xml:space="preserve">, Sudol M, and Katzman M.  Mechanisms underlying the activity profile of Rous sarcoma virus integrases that are improved for processing but impaired for joining.  In: Abstracts of papers presented at the 2005 meeting on Retroviruses, page 146.  Cold Spring Harbor, 2005.  [Presenter]  </w:t>
      </w:r>
    </w:p>
    <w:p w14:paraId="134ABEBE" w14:textId="77777777" w:rsidR="006A1899" w:rsidRDefault="008C6249">
      <w:pPr>
        <w:spacing w:after="0" w:line="259" w:lineRule="auto"/>
        <w:ind w:left="360" w:right="0" w:firstLine="0"/>
      </w:pPr>
      <w:r>
        <w:t xml:space="preserve"> </w:t>
      </w:r>
    </w:p>
    <w:p w14:paraId="35842FF4" w14:textId="77777777" w:rsidR="006A1899" w:rsidRDefault="008C6249">
      <w:pPr>
        <w:numPr>
          <w:ilvl w:val="0"/>
          <w:numId w:val="2"/>
        </w:numPr>
        <w:ind w:right="0" w:hanging="360"/>
      </w:pPr>
      <w:r>
        <w:t xml:space="preserve">Burkholder S, </w:t>
      </w:r>
      <w:r>
        <w:rPr>
          <w:b/>
        </w:rPr>
        <w:t>Konsavage WM Jr.</w:t>
      </w:r>
      <w:r>
        <w:t xml:space="preserve">, and Katzman M.  Interactions between reverse transcriptase and integrase from Rous sarcoma virus.  81st Annual Meeting of the Pennsylvania Academy of Sciences, April 8-10, 2005, Camp Hill, PA. </w:t>
      </w:r>
    </w:p>
    <w:p w14:paraId="2B306E92" w14:textId="77777777" w:rsidR="006A1899" w:rsidRDefault="008C6249">
      <w:pPr>
        <w:spacing w:after="0" w:line="259" w:lineRule="auto"/>
        <w:ind w:left="468" w:right="0" w:firstLine="0"/>
      </w:pPr>
      <w:r>
        <w:t xml:space="preserve"> </w:t>
      </w:r>
    </w:p>
    <w:p w14:paraId="7C0EA317" w14:textId="77777777" w:rsidR="006A1899" w:rsidRDefault="008C6249">
      <w:pPr>
        <w:numPr>
          <w:ilvl w:val="0"/>
          <w:numId w:val="2"/>
        </w:numPr>
        <w:ind w:right="0" w:hanging="360"/>
      </w:pPr>
      <w:r>
        <w:rPr>
          <w:b/>
        </w:rPr>
        <w:t>Konsavage WM Jr.</w:t>
      </w:r>
      <w:r>
        <w:t xml:space="preserve">, Burkholder S, Sudol M, Harper A, and Katzman M.  A substitution in Rous sarcoma virus integrase that separates its two enzymatic activities.  In: Abstracts of papers presented at the 2004 meeting on Retroviruses, page 147.  Cold Spring Harbor, 2004.  [Presenter] </w:t>
      </w:r>
    </w:p>
    <w:p w14:paraId="58939134" w14:textId="77777777" w:rsidR="006A1899" w:rsidRDefault="008C6249">
      <w:pPr>
        <w:spacing w:after="0" w:line="259" w:lineRule="auto"/>
        <w:ind w:left="360" w:right="0" w:firstLine="0"/>
      </w:pPr>
      <w:r>
        <w:rPr>
          <w:b/>
        </w:rPr>
        <w:t xml:space="preserve"> </w:t>
      </w:r>
    </w:p>
    <w:p w14:paraId="30366ECE" w14:textId="77777777" w:rsidR="006A1899" w:rsidRDefault="008C6249">
      <w:pPr>
        <w:numPr>
          <w:ilvl w:val="0"/>
          <w:numId w:val="2"/>
        </w:numPr>
        <w:ind w:right="0" w:hanging="360"/>
      </w:pPr>
      <w:r>
        <w:rPr>
          <w:b/>
        </w:rPr>
        <w:t>Konsavage WM</w:t>
      </w:r>
      <w:r>
        <w:t xml:space="preserve">, Sudol M, and Katzman M.  Effects of altering the size, flexibility, or content of a disordered loop in the catalytic region of Rous sarcoma virus integrase.  In: Abstracts of papers presented at the 2004 meeting on Retroviruses, page 146.  Cold Spring Harbor, 2004.  [Presenter] </w:t>
      </w:r>
    </w:p>
    <w:p w14:paraId="3345926E" w14:textId="77777777" w:rsidR="006A1899" w:rsidRDefault="008C6249">
      <w:pPr>
        <w:spacing w:after="0" w:line="259" w:lineRule="auto"/>
        <w:ind w:left="360" w:right="0" w:firstLine="0"/>
      </w:pPr>
      <w:r>
        <w:rPr>
          <w:b/>
        </w:rPr>
        <w:t xml:space="preserve"> </w:t>
      </w:r>
    </w:p>
    <w:p w14:paraId="0F0F4547" w14:textId="77777777" w:rsidR="006A1899" w:rsidRDefault="008C6249">
      <w:pPr>
        <w:numPr>
          <w:ilvl w:val="0"/>
          <w:numId w:val="2"/>
        </w:numPr>
        <w:ind w:right="0" w:hanging="360"/>
      </w:pPr>
      <w:r>
        <w:rPr>
          <w:b/>
        </w:rPr>
        <w:t>Konsavage WM</w:t>
      </w:r>
      <w:r>
        <w:t xml:space="preserve">, Sudol M, and Katzman M.  Mutagenic analysis of the flexible loop in the catalytic region of Rous sarcoma virus integrase.  In: Abstracts of papers presented at the 2003 meeting on </w:t>
      </w:r>
    </w:p>
    <w:p w14:paraId="57E17AED" w14:textId="77777777" w:rsidR="006A1899" w:rsidRDefault="008C6249">
      <w:pPr>
        <w:ind w:left="468" w:right="0" w:firstLine="0"/>
      </w:pPr>
      <w:r>
        <w:t xml:space="preserve">Retroviruses, page 140.  Cold Spring Harbor, May 20-25, 2003.  [Presenter] </w:t>
      </w:r>
    </w:p>
    <w:p w14:paraId="0035B08A" w14:textId="77777777" w:rsidR="006A1899" w:rsidRDefault="008C6249">
      <w:pPr>
        <w:spacing w:after="0" w:line="259" w:lineRule="auto"/>
        <w:ind w:left="0" w:right="0" w:firstLine="0"/>
      </w:pPr>
      <w:r>
        <w:t xml:space="preserve"> </w:t>
      </w:r>
    </w:p>
    <w:p w14:paraId="26C25AD4" w14:textId="77777777" w:rsidR="006A1899" w:rsidRDefault="008C6249">
      <w:pPr>
        <w:numPr>
          <w:ilvl w:val="0"/>
          <w:numId w:val="2"/>
        </w:numPr>
        <w:ind w:right="0" w:hanging="360"/>
      </w:pPr>
      <w:r>
        <w:t xml:space="preserve">Capute Z, </w:t>
      </w:r>
      <w:r>
        <w:rPr>
          <w:b/>
        </w:rPr>
        <w:t>Konsavage W</w:t>
      </w:r>
      <w:r>
        <w:t xml:space="preserve">, Smereczynsky S, and Pidcock K. Population genetics of Escherichia coli. </w:t>
      </w:r>
    </w:p>
    <w:p w14:paraId="09232F71" w14:textId="77777777" w:rsidR="006A1899" w:rsidRDefault="008C6249">
      <w:pPr>
        <w:ind w:left="468" w:right="0" w:firstLine="0"/>
      </w:pPr>
      <w:r>
        <w:t>55</w:t>
      </w:r>
      <w:r>
        <w:rPr>
          <w:vertAlign w:val="superscript"/>
        </w:rPr>
        <w:t>th</w:t>
      </w:r>
      <w:r>
        <w:t xml:space="preserve"> Annual Eastern Colleges Science Conference.  March 30-31, 2001, Wilkes-Barre, PA. [CoPresenter] </w:t>
      </w:r>
    </w:p>
    <w:p w14:paraId="25DFBB4C" w14:textId="77777777" w:rsidR="00303AEE" w:rsidRDefault="00303AEE">
      <w:pPr>
        <w:ind w:left="468" w:right="0" w:firstLine="0"/>
      </w:pPr>
    </w:p>
    <w:p w14:paraId="132123C3" w14:textId="77777777" w:rsidR="00303AEE" w:rsidRDefault="00303AEE" w:rsidP="00303AEE">
      <w:pPr>
        <w:pStyle w:val="Heading1"/>
        <w:ind w:left="0" w:firstLine="0"/>
        <w:rPr>
          <w:u w:val="none"/>
        </w:rPr>
      </w:pPr>
      <w:r>
        <w:t>Student Mentoring Experience</w:t>
      </w:r>
    </w:p>
    <w:p w14:paraId="40F6D817" w14:textId="77777777" w:rsidR="002F1FC9" w:rsidRDefault="002F1FC9" w:rsidP="002F1FC9">
      <w:pPr>
        <w:ind w:left="2160" w:hanging="2160"/>
      </w:pPr>
      <w:r>
        <w:t>04/2022-05/2022</w:t>
      </w:r>
      <w:r>
        <w:tab/>
        <w:t>David Opozda, PhD student rotation, Raup-Konsavage Laboratory</w:t>
      </w:r>
    </w:p>
    <w:p w14:paraId="745FCEC2" w14:textId="30944F95" w:rsidR="002F1FC9" w:rsidRDefault="002F1FC9" w:rsidP="00303AEE">
      <w:pPr>
        <w:ind w:left="2160" w:hanging="2160"/>
      </w:pPr>
      <w:r>
        <w:t>02/2022-Present</w:t>
      </w:r>
      <w:r>
        <w:tab/>
        <w:t>Alexis Scudder, PhD student, Neighbors Laboratory-Committee Member</w:t>
      </w:r>
    </w:p>
    <w:p w14:paraId="79659873" w14:textId="16953004" w:rsidR="00303AEE" w:rsidRDefault="00303AEE" w:rsidP="00303AEE">
      <w:pPr>
        <w:ind w:left="2160" w:hanging="2160"/>
      </w:pPr>
      <w:r>
        <w:t>08/2020-Present</w:t>
      </w:r>
      <w:r>
        <w:tab/>
        <w:t>Rahul Nachnani, MD/PhD student, Vrana Laboratory</w:t>
      </w:r>
    </w:p>
    <w:p w14:paraId="28C19A67" w14:textId="77777777" w:rsidR="00303AEE" w:rsidRDefault="00303AEE" w:rsidP="00303AEE">
      <w:pPr>
        <w:ind w:left="2160" w:hanging="2160"/>
      </w:pPr>
      <w:r>
        <w:t>05/2017-08/2017</w:t>
      </w:r>
      <w:r>
        <w:tab/>
        <w:t>Christopher Legare, MD student research project, Vrana Laboratory</w:t>
      </w:r>
    </w:p>
    <w:p w14:paraId="264D26A7" w14:textId="77777777" w:rsidR="00303AEE" w:rsidRDefault="00303AEE" w:rsidP="00303AEE">
      <w:pPr>
        <w:ind w:left="2160" w:hanging="2160"/>
      </w:pPr>
      <w:r>
        <w:t>05/2017-08/2017</w:t>
      </w:r>
      <w:r>
        <w:tab/>
        <w:t>Megan Johnson, Post-bac research project, Vrana Laboratory</w:t>
      </w:r>
    </w:p>
    <w:p w14:paraId="78D0A836" w14:textId="77777777" w:rsidR="007B6EF9" w:rsidRDefault="007B6EF9" w:rsidP="00303AEE">
      <w:pPr>
        <w:ind w:left="2160" w:hanging="2160"/>
      </w:pPr>
      <w:r>
        <w:t>05/2014-07/2014</w:t>
      </w:r>
      <w:r>
        <w:tab/>
        <w:t>Genevieve Gerhard, undergraduate student research project, Yochum Laboratory</w:t>
      </w:r>
    </w:p>
    <w:p w14:paraId="77D20DC2" w14:textId="77777777" w:rsidR="00303AEE" w:rsidRDefault="00303AEE" w:rsidP="00303AEE">
      <w:pPr>
        <w:ind w:left="2160" w:hanging="2160"/>
      </w:pPr>
      <w:r>
        <w:t>08/2010-06/2015</w:t>
      </w:r>
      <w:r>
        <w:tab/>
        <w:t xml:space="preserve">Sherri Rennoll, PhD student, Yochum Laboratory </w:t>
      </w:r>
    </w:p>
    <w:p w14:paraId="5066CC47" w14:textId="77777777" w:rsidR="00303AEE" w:rsidRDefault="00303AEE" w:rsidP="00303AEE">
      <w:pPr>
        <w:ind w:left="2160" w:hanging="2160"/>
      </w:pPr>
      <w:r>
        <w:t>05/2006-05/2007</w:t>
      </w:r>
      <w:r>
        <w:tab/>
        <w:t>Noelle Lee, MD student research project, Katzman Laboratory</w:t>
      </w:r>
    </w:p>
    <w:p w14:paraId="12B7A2ED" w14:textId="77777777" w:rsidR="007B6EF9" w:rsidRDefault="007B6EF9" w:rsidP="00303AEE">
      <w:pPr>
        <w:ind w:left="2160" w:hanging="2160"/>
      </w:pPr>
      <w:r>
        <w:t>05/2004-05/2005</w:t>
      </w:r>
      <w:r>
        <w:tab/>
        <w:t>Stephen Burkholder, undergraduate student research project, Katzman Laboratory</w:t>
      </w:r>
    </w:p>
    <w:p w14:paraId="29F21D7D" w14:textId="77777777" w:rsidR="007B6EF9" w:rsidRDefault="007B6EF9" w:rsidP="00303AEE">
      <w:pPr>
        <w:ind w:left="2160" w:hanging="2160"/>
      </w:pPr>
    </w:p>
    <w:p w14:paraId="48621183" w14:textId="77777777" w:rsidR="00303AEE" w:rsidRDefault="00303AEE" w:rsidP="00303AEE">
      <w:pPr>
        <w:ind w:left="2160" w:hanging="2160"/>
      </w:pPr>
    </w:p>
    <w:p w14:paraId="7546A4E8" w14:textId="77777777" w:rsidR="00303AEE" w:rsidRDefault="00303AEE">
      <w:pPr>
        <w:ind w:left="468" w:right="0" w:firstLine="0"/>
      </w:pPr>
    </w:p>
    <w:p w14:paraId="32313BB6" w14:textId="77777777" w:rsidR="00BD3D08" w:rsidRDefault="00BD3D08">
      <w:pPr>
        <w:ind w:left="468" w:right="0" w:firstLine="0"/>
      </w:pPr>
    </w:p>
    <w:p w14:paraId="25CC9075" w14:textId="77777777" w:rsidR="00BD3D08" w:rsidRDefault="00BD3D08">
      <w:pPr>
        <w:ind w:left="468" w:right="0" w:firstLine="0"/>
      </w:pPr>
    </w:p>
    <w:p w14:paraId="33CE9C17" w14:textId="77777777" w:rsidR="00BD3D08" w:rsidRPr="008C6249" w:rsidRDefault="00BD3D08" w:rsidP="00BD3D08">
      <w:pPr>
        <w:ind w:left="2283" w:hanging="2190"/>
      </w:pPr>
    </w:p>
    <w:p w14:paraId="1846F20E" w14:textId="77777777" w:rsidR="00BD3D08" w:rsidRDefault="00BD3D08">
      <w:pPr>
        <w:ind w:left="468" w:right="0" w:firstLine="0"/>
      </w:pPr>
    </w:p>
    <w:sectPr w:rsidR="00BD3D08">
      <w:pgSz w:w="12240" w:h="15840"/>
      <w:pgMar w:top="1087" w:right="1075" w:bottom="1097" w:left="9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1DF"/>
    <w:multiLevelType w:val="hybridMultilevel"/>
    <w:tmpl w:val="C7D49590"/>
    <w:lvl w:ilvl="0" w:tplc="5862352C">
      <w:start w:val="1"/>
      <w:numFmt w:val="decimal"/>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492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2467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04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278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8EF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A37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0A23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48C2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F177E74"/>
    <w:multiLevelType w:val="hybridMultilevel"/>
    <w:tmpl w:val="E4147FEC"/>
    <w:lvl w:ilvl="0" w:tplc="26C49294">
      <w:start w:val="1"/>
      <w:numFmt w:val="decimal"/>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087FCC">
      <w:start w:val="1"/>
      <w:numFmt w:val="lowerLetter"/>
      <w:lvlText w:val="%2"/>
      <w:lvlJc w:val="left"/>
      <w:pPr>
        <w:ind w:left="1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FC86332">
      <w:start w:val="1"/>
      <w:numFmt w:val="lowerRoman"/>
      <w:lvlText w:val="%3"/>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FAD4EE">
      <w:start w:val="1"/>
      <w:numFmt w:val="decimal"/>
      <w:lvlText w:val="%4"/>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BA45B2">
      <w:start w:val="1"/>
      <w:numFmt w:val="lowerLetter"/>
      <w:lvlText w:val="%5"/>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BC3DAC">
      <w:start w:val="1"/>
      <w:numFmt w:val="lowerRoman"/>
      <w:lvlText w:val="%6"/>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A28A94">
      <w:start w:val="1"/>
      <w:numFmt w:val="decimal"/>
      <w:lvlText w:val="%7"/>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A3F44">
      <w:start w:val="1"/>
      <w:numFmt w:val="lowerLetter"/>
      <w:lvlText w:val="%8"/>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CEFF52">
      <w:start w:val="1"/>
      <w:numFmt w:val="lowerRoman"/>
      <w:lvlText w:val="%9"/>
      <w:lvlJc w:val="left"/>
      <w:pPr>
        <w:ind w:left="6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53F321B"/>
    <w:multiLevelType w:val="hybridMultilevel"/>
    <w:tmpl w:val="C7D49590"/>
    <w:lvl w:ilvl="0" w:tplc="5862352C">
      <w:start w:val="1"/>
      <w:numFmt w:val="decimal"/>
      <w:lvlText w:val="%1."/>
      <w:lvlJc w:val="left"/>
      <w:pPr>
        <w:ind w:left="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492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2467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F6045B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62782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FB8EF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A37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0A23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48C2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360548126">
    <w:abstractNumId w:val="2"/>
  </w:num>
  <w:num w:numId="2" w16cid:durableId="1307738044">
    <w:abstractNumId w:val="1"/>
  </w:num>
  <w:num w:numId="3" w16cid:durableId="480854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99"/>
    <w:rsid w:val="00071D62"/>
    <w:rsid w:val="000F0FB7"/>
    <w:rsid w:val="0017663B"/>
    <w:rsid w:val="00183F99"/>
    <w:rsid w:val="001F1F53"/>
    <w:rsid w:val="00216D6C"/>
    <w:rsid w:val="0022047E"/>
    <w:rsid w:val="00230426"/>
    <w:rsid w:val="002868F7"/>
    <w:rsid w:val="002E586C"/>
    <w:rsid w:val="002F1FC9"/>
    <w:rsid w:val="00303AEE"/>
    <w:rsid w:val="00305F50"/>
    <w:rsid w:val="003E5705"/>
    <w:rsid w:val="004054E8"/>
    <w:rsid w:val="0046411D"/>
    <w:rsid w:val="00493ED5"/>
    <w:rsid w:val="004B7D09"/>
    <w:rsid w:val="004F7D19"/>
    <w:rsid w:val="005247DD"/>
    <w:rsid w:val="00533E60"/>
    <w:rsid w:val="00580F63"/>
    <w:rsid w:val="005A4283"/>
    <w:rsid w:val="006A1899"/>
    <w:rsid w:val="006F038E"/>
    <w:rsid w:val="007B6EF9"/>
    <w:rsid w:val="007C2433"/>
    <w:rsid w:val="007D1A5F"/>
    <w:rsid w:val="00830819"/>
    <w:rsid w:val="00844CF5"/>
    <w:rsid w:val="00874EFB"/>
    <w:rsid w:val="008C6249"/>
    <w:rsid w:val="009136DF"/>
    <w:rsid w:val="009D195F"/>
    <w:rsid w:val="009F7F7D"/>
    <w:rsid w:val="00A208A3"/>
    <w:rsid w:val="00AB52F0"/>
    <w:rsid w:val="00AC22B1"/>
    <w:rsid w:val="00AF1275"/>
    <w:rsid w:val="00BD3D08"/>
    <w:rsid w:val="00BF1F8A"/>
    <w:rsid w:val="00C85A24"/>
    <w:rsid w:val="00D0605D"/>
    <w:rsid w:val="00D2244D"/>
    <w:rsid w:val="00D475DB"/>
    <w:rsid w:val="00D576FC"/>
    <w:rsid w:val="00E71EEA"/>
    <w:rsid w:val="00E74B64"/>
    <w:rsid w:val="00F068D1"/>
    <w:rsid w:val="00F6009D"/>
    <w:rsid w:val="00F7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4C63"/>
  <w15:docId w15:val="{091EC57C-368E-4B8D-AD0D-D200072E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370" w:right="3" w:hanging="370"/>
    </w:pPr>
    <w:rPr>
      <w:rFonts w:ascii="Arial" w:eastAsia="Arial" w:hAnsi="Arial" w:cs="Arial"/>
      <w:color w:val="000000"/>
    </w:rPr>
  </w:style>
  <w:style w:type="paragraph" w:styleId="Heading1">
    <w:name w:val="heading 1"/>
    <w:next w:val="Normal"/>
    <w:link w:val="Heading1Char"/>
    <w:uiPriority w:val="9"/>
    <w:qFormat/>
    <w:pPr>
      <w:keepNext/>
      <w:keepLines/>
      <w:spacing w:after="0"/>
      <w:ind w:left="118"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3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44ae847-f5f6-4d0f-b9fc-0ea6a70d4c7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3C4D0DFCA77C4A9B45307C75EF6047" ma:contentTypeVersion="14" ma:contentTypeDescription="Create a new document." ma:contentTypeScope="" ma:versionID="2408cf926e8b8ee1e0ef508f078f1416">
  <xsd:schema xmlns:xsd="http://www.w3.org/2001/XMLSchema" xmlns:xs="http://www.w3.org/2001/XMLSchema" xmlns:p="http://schemas.microsoft.com/office/2006/metadata/properties" xmlns:ns3="a44ae847-f5f6-4d0f-b9fc-0ea6a70d4c7b" targetNamespace="http://schemas.microsoft.com/office/2006/metadata/properties" ma:root="true" ma:fieldsID="293af552bf2d59f4b1157e2b2519e9bc" ns3:_="">
    <xsd:import namespace="a44ae847-f5f6-4d0f-b9fc-0ea6a70d4c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LengthInSeconds" minOccurs="0"/>
                <xsd:element ref="ns3:_activity" minOccurs="0"/>
                <xsd:element ref="ns3:MediaServiceObjectDetectorVersions"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e847-f5f6-4d0f-b9fc-0ea6a70d4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7349E-1DFF-47D6-8667-C818AC42D548}">
  <ds:schemaRefs>
    <ds:schemaRef ds:uri="http://schemas.microsoft.com/office/2006/metadata/properties"/>
    <ds:schemaRef ds:uri="http://schemas.microsoft.com/office/infopath/2007/PartnerControls"/>
    <ds:schemaRef ds:uri="a44ae847-f5f6-4d0f-b9fc-0ea6a70d4c7b"/>
  </ds:schemaRefs>
</ds:datastoreItem>
</file>

<file path=customXml/itemProps2.xml><?xml version="1.0" encoding="utf-8"?>
<ds:datastoreItem xmlns:ds="http://schemas.openxmlformats.org/officeDocument/2006/customXml" ds:itemID="{4AC81A47-2F12-4022-AB78-C5A37B0E0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e847-f5f6-4d0f-b9fc-0ea6a70d4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20430-B159-4490-A64F-AC8145AC72B1}">
  <ds:schemaRefs>
    <ds:schemaRef ds:uri="http://schemas.openxmlformats.org/officeDocument/2006/bibliography"/>
  </ds:schemaRefs>
</ds:datastoreItem>
</file>

<file path=customXml/itemProps4.xml><?xml version="1.0" encoding="utf-8"?>
<ds:datastoreItem xmlns:ds="http://schemas.openxmlformats.org/officeDocument/2006/customXml" ds:itemID="{5F83D9B5-035C-4797-82C8-F2F173CC9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3588</Words>
  <Characters>20455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Penn State Health</Company>
  <LinksUpToDate>false</LinksUpToDate>
  <CharactersWithSpaces>23996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Konsavage</dc:creator>
  <cp:keywords/>
  <cp:lastModifiedBy>Susan and Paul Griffin</cp:lastModifiedBy>
  <cp:revision>2</cp:revision>
  <dcterms:created xsi:type="dcterms:W3CDTF">2024-01-29T17:25:00Z</dcterms:created>
  <dcterms:modified xsi:type="dcterms:W3CDTF">2024-01-29T17:25:00Z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0x010100513C4D0DFCA77C4A9B45307C75EF6047</vt:lpwstr>
  </property>
</Properties>
</file>